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F1525" w:rsidRDefault="00B26D03" w:rsidP="002D2588">
      <w:pPr>
        <w:spacing w:before="240" w:line="480" w:lineRule="auto"/>
        <w:ind w:left="-283" w:right="-2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Introdução</w:t>
      </w:r>
    </w:p>
    <w:p w14:paraId="00000002" w14:textId="77777777" w:rsidR="00DF1525" w:rsidRDefault="00DF1525" w:rsidP="002D2588">
      <w:pPr>
        <w:shd w:val="clear" w:color="auto" w:fill="FFFFFF"/>
        <w:spacing w:line="480" w:lineRule="auto"/>
        <w:ind w:left="-283" w:right="-267"/>
        <w:rPr>
          <w:rFonts w:ascii="Times New Roman" w:eastAsia="Times New Roman" w:hAnsi="Times New Roman" w:cs="Times New Roman"/>
        </w:rPr>
      </w:pPr>
    </w:p>
    <w:p w14:paraId="00000003" w14:textId="49E8F4C3" w:rsidR="00DF1525" w:rsidRDefault="00B26D03" w:rsidP="002D2588">
      <w:pPr>
        <w:shd w:val="clear" w:color="auto" w:fill="FFFFFF"/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Em </w:t>
      </w:r>
      <w:r w:rsidR="00C3318F">
        <w:rPr>
          <w:rFonts w:ascii="Times New Roman" w:eastAsia="Times New Roman" w:hAnsi="Times New Roman" w:cs="Times New Roman"/>
          <w:color w:val="000000"/>
        </w:rPr>
        <w:t xml:space="preserve">torno de </w:t>
      </w:r>
      <w:r>
        <w:rPr>
          <w:rFonts w:ascii="Times New Roman" w:eastAsia="Times New Roman" w:hAnsi="Times New Roman" w:cs="Times New Roman"/>
          <w:color w:val="000000"/>
        </w:rPr>
        <w:t>1990, iniciou-se o desenvolvimento do conceito do envelhecimento como um tema de relevância. As pesquisas e a consolidação deste novo foco levariam ao começo do “envelhecimento ativo” (Organiza</w:t>
      </w:r>
      <w:r>
        <w:rPr>
          <w:rFonts w:ascii="Times New Roman" w:eastAsia="Times New Roman" w:hAnsi="Times New Roman" w:cs="Times New Roman"/>
        </w:rPr>
        <w:t>ção Mundial da Saúde [OMS]</w:t>
      </w:r>
      <w:r>
        <w:rPr>
          <w:rFonts w:ascii="Times New Roman" w:eastAsia="Times New Roman" w:hAnsi="Times New Roman" w:cs="Times New Roman"/>
          <w:color w:val="000000"/>
        </w:rPr>
        <w:t xml:space="preserve">, 2017). O envelhecimento é caracterizado pelo impacto através da passagem de tempo ao longo do percurso da vida, compreendendo em cada </w:t>
      </w:r>
      <w:r w:rsidR="00C3318F">
        <w:rPr>
          <w:rFonts w:ascii="Times New Roman" w:eastAsia="Times New Roman" w:hAnsi="Times New Roman" w:cs="Times New Roman"/>
          <w:color w:val="000000"/>
        </w:rPr>
        <w:t>pessoa</w:t>
      </w:r>
      <w:r>
        <w:rPr>
          <w:rFonts w:ascii="Times New Roman" w:eastAsia="Times New Roman" w:hAnsi="Times New Roman" w:cs="Times New Roman"/>
          <w:color w:val="000000"/>
        </w:rPr>
        <w:t xml:space="preserve">, a sua trajetória nas dimensões biológica, fisiológica, psicológica e social </w:t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Gué</w:t>
      </w:r>
      <w:proofErr w:type="spellEnd"/>
      <w:r>
        <w:rPr>
          <w:rFonts w:ascii="Times New Roman" w:eastAsia="Times New Roman" w:hAnsi="Times New Roman" w:cs="Times New Roman"/>
        </w:rPr>
        <w:t>, 2013)</w:t>
      </w:r>
      <w:r>
        <w:rPr>
          <w:rFonts w:ascii="Times New Roman" w:eastAsia="Times New Roman" w:hAnsi="Times New Roman" w:cs="Times New Roman"/>
          <w:color w:val="000000"/>
        </w:rPr>
        <w:t>. O envelhecimento ativo e saudável foi projetado como um benefício final de uma vida saudável que permitiria chegar ao envelhecimento com saúde e sem tantos prejuízos como consequência de uma vida de muitos cuidados (</w:t>
      </w:r>
      <w:proofErr w:type="spellStart"/>
      <w:r>
        <w:rPr>
          <w:rFonts w:ascii="Times New Roman" w:eastAsia="Times New Roman" w:hAnsi="Times New Roman" w:cs="Times New Roman"/>
        </w:rPr>
        <w:t>Pessini</w:t>
      </w:r>
      <w:proofErr w:type="spellEnd"/>
      <w:r>
        <w:rPr>
          <w:rFonts w:ascii="Times New Roman" w:eastAsia="Times New Roman" w:hAnsi="Times New Roman" w:cs="Times New Roman"/>
        </w:rPr>
        <w:t xml:space="preserve">, Reis, César, &amp; </w:t>
      </w:r>
      <w:proofErr w:type="spellStart"/>
      <w:r>
        <w:rPr>
          <w:rFonts w:ascii="Times New Roman" w:eastAsia="Times New Roman" w:hAnsi="Times New Roman" w:cs="Times New Roman"/>
        </w:rPr>
        <w:t>Gamez</w:t>
      </w:r>
      <w:proofErr w:type="spellEnd"/>
      <w:r>
        <w:rPr>
          <w:rFonts w:ascii="Times New Roman" w:eastAsia="Times New Roman" w:hAnsi="Times New Roman" w:cs="Times New Roman"/>
        </w:rPr>
        <w:t>, 2018</w:t>
      </w:r>
      <w:r>
        <w:rPr>
          <w:rFonts w:ascii="Times New Roman" w:eastAsia="Times New Roman" w:hAnsi="Times New Roman" w:cs="Times New Roman"/>
          <w:color w:val="000000"/>
        </w:rPr>
        <w:t>). O envelhecimento bem-sucedido irá se basear na capacidade funcional do sujeito, sendo ela preservada ao longo da vida, contando com manutenções das habilidades físicas e mentais para que o idoso possa ter uma vida independente e funcional (Oliveira &amp; Rossi, 2019). </w:t>
      </w:r>
    </w:p>
    <w:p w14:paraId="00000004" w14:textId="6F498764" w:rsidR="00DF1525" w:rsidRDefault="00B26D03" w:rsidP="002D2588">
      <w:pPr>
        <w:shd w:val="clear" w:color="auto" w:fill="FFFFFF"/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Visando esta nova proposta de um envelhecimento saudável, a Organização Mundial de Saúde lançou diretrizes para redução do risco de declínio cognitivo e demência, indicando que o treinamento cognitivo pode ser oferecido a adultos mais velhos com cognição normal e com comprometimento cognitivo leve para reduzir os riscos de declínio cognitivo moderado e grave, podendo evoluir para as fases de demência (OMS, 2017). O treinamento em atividades de movimentação, raciocínio, esportivas e de jogos eletrônicos podem contribuir com o estímulo cerebral para desenvolver novas conexões que auxiliam em funções </w:t>
      </w:r>
      <w:r w:rsidR="003A6322">
        <w:rPr>
          <w:rFonts w:ascii="Times New Roman" w:eastAsia="Times New Roman" w:hAnsi="Times New Roman" w:cs="Times New Roman"/>
          <w:color w:val="000000"/>
        </w:rPr>
        <w:t>neuro cognitivas</w:t>
      </w:r>
      <w:r>
        <w:rPr>
          <w:rFonts w:ascii="Times New Roman" w:eastAsia="Times New Roman" w:hAnsi="Times New Roman" w:cs="Times New Roman"/>
          <w:color w:val="000000"/>
        </w:rPr>
        <w:t>. Pesquisas mostram que a prática de jogos eletrônicos pode auxiliar em diversas habilidades cognitivas como por exemplo, aprendizagem e atenção. Além disso, os jogos eletrônicos auxiliam no lazer e na capacidade de concentração em estímulos visuais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Pessini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Reis, César, &amp;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Gamez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2018). As regiões do cérebro que mais recebem auxílio com os jogos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são o córtex pré-frontal, no controle de atenção, o córtex </w:t>
      </w:r>
      <w:r>
        <w:rPr>
          <w:rFonts w:ascii="Times New Roman" w:eastAsia="Times New Roman" w:hAnsi="Times New Roman" w:cs="Times New Roman"/>
        </w:rPr>
        <w:t>parietal,</w:t>
      </w:r>
      <w:r>
        <w:rPr>
          <w:rFonts w:ascii="Times New Roman" w:eastAsia="Times New Roman" w:hAnsi="Times New Roman" w:cs="Times New Roman"/>
          <w:color w:val="000000"/>
        </w:rPr>
        <w:t xml:space="preserve"> com grande auxílio na mudança de foco, e córtex cingulado que são </w:t>
      </w:r>
      <w:r>
        <w:rPr>
          <w:rFonts w:ascii="Times New Roman" w:eastAsia="Times New Roman" w:hAnsi="Times New Roman" w:cs="Times New Roman"/>
        </w:rPr>
        <w:t xml:space="preserve">as funções comportamentais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Bavelier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&amp; Green, 2016). Po</w:t>
      </w:r>
      <w:r>
        <w:rPr>
          <w:rFonts w:ascii="Times New Roman" w:eastAsia="Times New Roman" w:hAnsi="Times New Roman" w:cs="Times New Roman"/>
        </w:rPr>
        <w:t>rtanto, é possível afirmar que o treinamento</w:t>
      </w:r>
      <w:r>
        <w:rPr>
          <w:rFonts w:ascii="Times New Roman" w:eastAsia="Times New Roman" w:hAnsi="Times New Roman" w:cs="Times New Roman"/>
          <w:color w:val="000000"/>
        </w:rPr>
        <w:t xml:space="preserve"> cognitivo e o uso de jogos eletrônicos são opções promissoras para desacelerar declínios cognitivos em idosos, uma vez que um crescente número de estudos sugere a eficácia dos mesmos (Butler et al., 2017). </w:t>
      </w:r>
    </w:p>
    <w:p w14:paraId="00000005" w14:textId="77777777" w:rsidR="00DF1525" w:rsidRDefault="00B26D03" w:rsidP="002D2588">
      <w:pPr>
        <w:shd w:val="clear" w:color="auto" w:fill="FFFFFF"/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31413"/>
        </w:rPr>
        <w:t xml:space="preserve">Em um estudo realizado por 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Ray, </w:t>
      </w:r>
      <w:proofErr w:type="spellStart"/>
      <w:r>
        <w:rPr>
          <w:rFonts w:ascii="Times New Roman" w:eastAsia="Times New Roman" w:hAnsi="Times New Roman" w:cs="Times New Roman"/>
          <w:color w:val="212121"/>
          <w:highlight w:val="white"/>
        </w:rPr>
        <w:t>O'Connell</w:t>
      </w:r>
      <w:proofErr w:type="spellEnd"/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121"/>
          <w:highlight w:val="white"/>
        </w:rPr>
        <w:t>Nashiro</w:t>
      </w:r>
      <w:proofErr w:type="spellEnd"/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, Smith, Qin e </w:t>
      </w:r>
      <w:proofErr w:type="spellStart"/>
      <w:r>
        <w:rPr>
          <w:rFonts w:ascii="Times New Roman" w:eastAsia="Times New Roman" w:hAnsi="Times New Roman" w:cs="Times New Roman"/>
          <w:color w:val="212121"/>
          <w:highlight w:val="white"/>
        </w:rPr>
        <w:t>Basak</w:t>
      </w:r>
      <w:proofErr w:type="spellEnd"/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(2017) </w:t>
      </w:r>
      <w:r>
        <w:rPr>
          <w:rFonts w:ascii="Times New Roman" w:eastAsia="Times New Roman" w:hAnsi="Times New Roman" w:cs="Times New Roman"/>
          <w:color w:val="000000"/>
        </w:rPr>
        <w:t xml:space="preserve">os jogos de estratégia compreendem uma ferramenta de treinamento mais benéfica para adultos que sofrem de distúrbios relacionados à memória ou declínios na velocidade de processamento, particularmente adultos mais velhos, evidenciando que diferenças de </w:t>
      </w:r>
      <w:r>
        <w:rPr>
          <w:rFonts w:ascii="Times New Roman" w:eastAsia="Times New Roman" w:hAnsi="Times New Roman" w:cs="Times New Roman"/>
          <w:color w:val="131413"/>
        </w:rPr>
        <w:t>gênero contêm elementos amplamente variados que estimulam a cognição do jogador em formas diferentes e produzem efeitos variáveis ​​(</w:t>
      </w:r>
      <w:proofErr w:type="spellStart"/>
      <w:r>
        <w:rPr>
          <w:rFonts w:ascii="Times New Roman" w:eastAsia="Times New Roman" w:hAnsi="Times New Roman" w:cs="Times New Roman"/>
          <w:color w:val="131413"/>
        </w:rPr>
        <w:t>Pallavicini</w:t>
      </w:r>
      <w:proofErr w:type="spellEnd"/>
      <w:r>
        <w:rPr>
          <w:rFonts w:ascii="Times New Roman" w:eastAsia="Times New Roman" w:hAnsi="Times New Roman" w:cs="Times New Roman"/>
          <w:color w:val="131413"/>
        </w:rPr>
        <w:t>, Ferrari, &amp; Mantovani, 2018). Ademais, evidências sugerem que além de beneficiar f</w:t>
      </w:r>
      <w:r>
        <w:rPr>
          <w:rFonts w:ascii="Times New Roman" w:eastAsia="Times New Roman" w:hAnsi="Times New Roman" w:cs="Times New Roman"/>
          <w:color w:val="111111"/>
        </w:rPr>
        <w:t xml:space="preserve">unções cerebrais em geral e poder contribuir com maior plasticidade funcional e neuronal, </w:t>
      </w:r>
      <w:r>
        <w:rPr>
          <w:rFonts w:ascii="Times New Roman" w:eastAsia="Times New Roman" w:hAnsi="Times New Roman" w:cs="Times New Roman"/>
          <w:color w:val="131413"/>
        </w:rPr>
        <w:t>as intervenções</w:t>
      </w:r>
      <w:r>
        <w:rPr>
          <w:rFonts w:ascii="Times New Roman" w:eastAsia="Times New Roman" w:hAnsi="Times New Roman" w:cs="Times New Roman"/>
          <w:color w:val="000000"/>
        </w:rPr>
        <w:t xml:space="preserve"> levam a uma funcionalidade aprimorada em situações do mundo real por meio do processo de percepção de efeito de transferência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Pessini</w:t>
      </w:r>
      <w:proofErr w:type="spellEnd"/>
      <w:r>
        <w:rPr>
          <w:rFonts w:ascii="Times New Roman" w:eastAsia="Times New Roman" w:hAnsi="Times New Roman" w:cs="Times New Roman"/>
        </w:rPr>
        <w:t xml:space="preserve"> et al.</w:t>
      </w:r>
      <w:r>
        <w:rPr>
          <w:rFonts w:ascii="Times New Roman" w:eastAsia="Times New Roman" w:hAnsi="Times New Roman" w:cs="Times New Roman"/>
          <w:color w:val="000000"/>
        </w:rPr>
        <w:t xml:space="preserve">, 2018;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Talaei-Khoei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&amp; Daniel, 2018).</w:t>
      </w:r>
    </w:p>
    <w:p w14:paraId="00000006" w14:textId="77777777" w:rsidR="00DF1525" w:rsidRDefault="00B26D03" w:rsidP="002D2588">
      <w:pPr>
        <w:shd w:val="clear" w:color="auto" w:fill="FFFFFF"/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 literatura apresenta evidências de que intervenções usando treinamento cognitivo online e jogos eletrônicos apresentam efeitos positivos para diferentes amostras, e que grande parte dos estudos existentes revelam efeitos positivos na atenção, memória, raciocínio, percepção e funções ex</w:t>
      </w:r>
      <w:r>
        <w:rPr>
          <w:rFonts w:ascii="Times New Roman" w:eastAsia="Times New Roman" w:hAnsi="Times New Roman" w:cs="Times New Roman"/>
        </w:rPr>
        <w:t>ecutivas (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Balkom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et al., 2019; </w:t>
      </w:r>
      <w:r>
        <w:rPr>
          <w:rFonts w:ascii="Times New Roman" w:eastAsia="Times New Roman" w:hAnsi="Times New Roman" w:cs="Times New Roman"/>
        </w:rPr>
        <w:t>Gao, 2019; Cardoso, Argimon, &amp; Pereira, 2017). Portanto, visando a reflet</w:t>
      </w:r>
      <w:r>
        <w:rPr>
          <w:rFonts w:ascii="Times New Roman" w:eastAsia="Times New Roman" w:hAnsi="Times New Roman" w:cs="Times New Roman"/>
          <w:color w:val="000000"/>
        </w:rPr>
        <w:t>ir sobre as produções científicas nesta área, o objetivo deste estudo foi, através de uma revisão sistemática, investigar a eficácia dos jogos eletrônicos na memória e atenção na população idosa saudável. Pretende-se também, apresentar os construtos teóricos que vêm sendo utilizados em tais protocolos.</w:t>
      </w:r>
    </w:p>
    <w:p w14:paraId="00000007" w14:textId="77777777" w:rsidR="00DF1525" w:rsidRDefault="00B26D03" w:rsidP="002D2588">
      <w:pPr>
        <w:spacing w:before="240" w:line="480" w:lineRule="auto"/>
        <w:ind w:left="-283" w:right="-2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Método</w:t>
      </w:r>
    </w:p>
    <w:p w14:paraId="00000008" w14:textId="77777777" w:rsidR="00DF1525" w:rsidRDefault="00B26D03" w:rsidP="002D2588">
      <w:pPr>
        <w:spacing w:before="240" w:line="480" w:lineRule="auto"/>
        <w:ind w:left="-283" w:right="-267" w:firstLine="283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lastRenderedPageBreak/>
        <w:t>Trata-se de uma revisão sistemática de artigos empíricos seguindo o modelo PRISMA (</w:t>
      </w:r>
      <w:proofErr w:type="spellStart"/>
      <w:r>
        <w:rPr>
          <w:rFonts w:ascii="Times New Roman" w:eastAsia="Times New Roman" w:hAnsi="Times New Roman" w:cs="Times New Roman"/>
        </w:rPr>
        <w:t>Moher</w:t>
      </w:r>
      <w:proofErr w:type="spellEnd"/>
      <w:r>
        <w:rPr>
          <w:rFonts w:ascii="Times New Roman" w:eastAsia="Times New Roman" w:hAnsi="Times New Roman" w:cs="Times New Roman"/>
        </w:rPr>
        <w:t xml:space="preserve">, Liberati, </w:t>
      </w:r>
      <w:proofErr w:type="spellStart"/>
      <w:r>
        <w:rPr>
          <w:rFonts w:ascii="Times New Roman" w:eastAsia="Times New Roman" w:hAnsi="Times New Roman" w:cs="Times New Roman"/>
        </w:rPr>
        <w:t>Tetzlaff</w:t>
      </w:r>
      <w:proofErr w:type="spellEnd"/>
      <w:r>
        <w:rPr>
          <w:rFonts w:ascii="Times New Roman" w:eastAsia="Times New Roman" w:hAnsi="Times New Roman" w:cs="Times New Roman"/>
        </w:rPr>
        <w:t xml:space="preserve">, &amp; Altman, 2009). Para a revisão foi realizada separadamente a busca em três bases de dados, sendo elas, </w:t>
      </w:r>
      <w:r>
        <w:rPr>
          <w:rFonts w:ascii="Times New Roman" w:eastAsia="Times New Roman" w:hAnsi="Times New Roman" w:cs="Times New Roman"/>
          <w:i/>
        </w:rPr>
        <w:t xml:space="preserve">US </w:t>
      </w:r>
      <w:proofErr w:type="spellStart"/>
      <w:r>
        <w:rPr>
          <w:rFonts w:ascii="Times New Roman" w:eastAsia="Times New Roman" w:hAnsi="Times New Roman" w:cs="Times New Roman"/>
          <w:i/>
        </w:rPr>
        <w:t>National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Library </w:t>
      </w:r>
      <w:proofErr w:type="spellStart"/>
      <w:r>
        <w:rPr>
          <w:rFonts w:ascii="Times New Roman" w:eastAsia="Times New Roman" w:hAnsi="Times New Roman" w:cs="Times New Roman"/>
          <w:i/>
        </w:rPr>
        <w:t>of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Medicine and </w:t>
      </w:r>
      <w:proofErr w:type="spellStart"/>
      <w:r>
        <w:rPr>
          <w:rFonts w:ascii="Times New Roman" w:eastAsia="Times New Roman" w:hAnsi="Times New Roman" w:cs="Times New Roman"/>
          <w:i/>
        </w:rPr>
        <w:t>National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Institutes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of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Health (</w:t>
      </w:r>
      <w:proofErr w:type="spellStart"/>
      <w:r>
        <w:rPr>
          <w:rFonts w:ascii="Times New Roman" w:eastAsia="Times New Roman" w:hAnsi="Times New Roman" w:cs="Times New Roman"/>
          <w:i/>
        </w:rPr>
        <w:t>Pubmed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), Scopus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i/>
        </w:rPr>
        <w:t xml:space="preserve"> Web </w:t>
      </w:r>
      <w:proofErr w:type="spellStart"/>
      <w:r>
        <w:rPr>
          <w:rFonts w:ascii="Times New Roman" w:eastAsia="Times New Roman" w:hAnsi="Times New Roman" w:cs="Times New Roman"/>
          <w:i/>
        </w:rPr>
        <w:t>of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Science. </w:t>
      </w:r>
      <w:r>
        <w:rPr>
          <w:rFonts w:ascii="Times New Roman" w:eastAsia="Times New Roman" w:hAnsi="Times New Roman" w:cs="Times New Roman"/>
        </w:rPr>
        <w:t xml:space="preserve">Estas foram escolhidas por sua abrangência nacional e internacional, possuindo vasta seleção de periódicos científicos na área da psicologia e psiquiatria. Todo processo de coleta de dados </w:t>
      </w:r>
      <w:r>
        <w:rPr>
          <w:rFonts w:ascii="Times New Roman" w:eastAsia="Times New Roman" w:hAnsi="Times New Roman" w:cs="Times New Roman"/>
          <w:i/>
        </w:rPr>
        <w:t>online</w:t>
      </w:r>
      <w:r>
        <w:rPr>
          <w:rFonts w:ascii="Times New Roman" w:eastAsia="Times New Roman" w:hAnsi="Times New Roman" w:cs="Times New Roman"/>
        </w:rPr>
        <w:t xml:space="preserve"> foi realizado no mês de janeiro e fevereiro, por dois juízes independentes, no mesmo espaço de tempo. Os descritores utilizados foram: “Jogos digitais” OR “Jogos eletrônicos” OR “</w:t>
      </w:r>
      <w:proofErr w:type="spellStart"/>
      <w:r>
        <w:rPr>
          <w:rFonts w:ascii="Times New Roman" w:eastAsia="Times New Roman" w:hAnsi="Times New Roman" w:cs="Times New Roman"/>
        </w:rPr>
        <w:t>Video</w:t>
      </w:r>
      <w:proofErr w:type="spellEnd"/>
      <w:r>
        <w:rPr>
          <w:rFonts w:ascii="Times New Roman" w:eastAsia="Times New Roman" w:hAnsi="Times New Roman" w:cs="Times New Roman"/>
        </w:rPr>
        <w:t xml:space="preserve"> Game” OR “Game” OR “Games” AND “</w:t>
      </w:r>
      <w:proofErr w:type="spellStart"/>
      <w:r>
        <w:rPr>
          <w:rFonts w:ascii="Times New Roman" w:eastAsia="Times New Roman" w:hAnsi="Times New Roman" w:cs="Times New Roman"/>
        </w:rPr>
        <w:t>Memory</w:t>
      </w:r>
      <w:proofErr w:type="spellEnd"/>
      <w:r>
        <w:rPr>
          <w:rFonts w:ascii="Times New Roman" w:eastAsia="Times New Roman" w:hAnsi="Times New Roman" w:cs="Times New Roman"/>
        </w:rPr>
        <w:t>” OR “Memória” AND “</w:t>
      </w:r>
      <w:proofErr w:type="spellStart"/>
      <w:r>
        <w:rPr>
          <w:rFonts w:ascii="Times New Roman" w:eastAsia="Times New Roman" w:hAnsi="Times New Roman" w:cs="Times New Roman"/>
        </w:rPr>
        <w:t>Attention</w:t>
      </w:r>
      <w:proofErr w:type="spellEnd"/>
      <w:r>
        <w:rPr>
          <w:rFonts w:ascii="Times New Roman" w:eastAsia="Times New Roman" w:hAnsi="Times New Roman" w:cs="Times New Roman"/>
        </w:rPr>
        <w:t>” OR “Atenção” AND “Questionnaire” OR “</w:t>
      </w:r>
      <w:proofErr w:type="spellStart"/>
      <w:r>
        <w:rPr>
          <w:rFonts w:ascii="Times New Roman" w:eastAsia="Times New Roman" w:hAnsi="Times New Roman" w:cs="Times New Roman"/>
        </w:rPr>
        <w:t>Scale</w:t>
      </w:r>
      <w:proofErr w:type="spellEnd"/>
      <w:r>
        <w:rPr>
          <w:rFonts w:ascii="Times New Roman" w:eastAsia="Times New Roman" w:hAnsi="Times New Roman" w:cs="Times New Roman"/>
        </w:rPr>
        <w:t>” OR “Index</w:t>
      </w:r>
      <w:r>
        <w:rPr>
          <w:rFonts w:ascii="Times New Roman" w:eastAsia="Times New Roman" w:hAnsi="Times New Roman" w:cs="Times New Roman"/>
          <w:highlight w:val="white"/>
        </w:rPr>
        <w:t>” OR "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Psychometric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" </w:t>
      </w:r>
      <w:r>
        <w:rPr>
          <w:rFonts w:ascii="Times New Roman" w:eastAsia="Times New Roman" w:hAnsi="Times New Roman" w:cs="Times New Roman"/>
        </w:rPr>
        <w:t>OR “</w:t>
      </w:r>
      <w:proofErr w:type="spellStart"/>
      <w:r>
        <w:rPr>
          <w:rFonts w:ascii="Times New Roman" w:eastAsia="Times New Roman" w:hAnsi="Times New Roman" w:cs="Times New Roman"/>
        </w:rPr>
        <w:t>Instrument</w:t>
      </w:r>
      <w:proofErr w:type="spellEnd"/>
      <w:r>
        <w:rPr>
          <w:rFonts w:ascii="Times New Roman" w:eastAsia="Times New Roman" w:hAnsi="Times New Roman" w:cs="Times New Roman"/>
        </w:rPr>
        <w:t>” OR “Assessment” OR “Test AND “</w:t>
      </w:r>
      <w:proofErr w:type="spellStart"/>
      <w:r>
        <w:rPr>
          <w:rFonts w:ascii="Times New Roman" w:eastAsia="Times New Roman" w:hAnsi="Times New Roman" w:cs="Times New Roman"/>
        </w:rPr>
        <w:t>Aged</w:t>
      </w:r>
      <w:proofErr w:type="spellEnd"/>
      <w:r>
        <w:rPr>
          <w:rFonts w:ascii="Times New Roman" w:eastAsia="Times New Roman" w:hAnsi="Times New Roman" w:cs="Times New Roman"/>
        </w:rPr>
        <w:t>” OR “</w:t>
      </w:r>
      <w:proofErr w:type="spellStart"/>
      <w:r>
        <w:rPr>
          <w:rFonts w:ascii="Times New Roman" w:eastAsia="Times New Roman" w:hAnsi="Times New Roman" w:cs="Times New Roman"/>
        </w:rPr>
        <w:t>Older</w:t>
      </w:r>
      <w:proofErr w:type="spellEnd"/>
      <w:r>
        <w:rPr>
          <w:rFonts w:ascii="Times New Roman" w:eastAsia="Times New Roman" w:hAnsi="Times New Roman" w:cs="Times New Roman"/>
        </w:rPr>
        <w:t>” OR “Idoso” OR “Idosos”</w:t>
      </w:r>
      <w:r>
        <w:rPr>
          <w:rFonts w:ascii="Times New Roman" w:eastAsia="Times New Roman" w:hAnsi="Times New Roman" w:cs="Times New Roman"/>
          <w:highlight w:val="white"/>
        </w:rPr>
        <w:t xml:space="preserve"> OR "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Elderly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” OR “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Aging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”, com o filtro de que os descritores deveriam aparecer no resumo. Considerou-se todos os estudos publicados nas línguas português, inglês e espanhol de 2016 até 2021. Para a extração e seleção dos artigos que seriam lidos na íntegra, os estudos foram primeiramente analisados por título, resumos e palavras-chaves. Outros critérios de inclusão foram: a) Artigos empíricos, em formato de artigo, resumos e palavras-chave, b) Artigos empíricos que atendessem à questão norteadora, escritos nos idiomas inglês, português e espanhol, estando disponíveis na íntegra 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online, </w:t>
      </w:r>
      <w:r>
        <w:rPr>
          <w:rFonts w:ascii="Times New Roman" w:eastAsia="Times New Roman" w:hAnsi="Times New Roman" w:cs="Times New Roman"/>
          <w:highlight w:val="white"/>
        </w:rPr>
        <w:t xml:space="preserve">c) artigos empíricos experimentais ou quase experimentais, d) sujeitos de idade igual ou superior a 60 anos, sendo idosos saudáveis, com ausência de doenças neurodegenerativas. Foram excluídos: a) Artigos indisponíveis gratuitamente no formato </w:t>
      </w:r>
      <w:r>
        <w:rPr>
          <w:rFonts w:ascii="Times New Roman" w:eastAsia="Times New Roman" w:hAnsi="Times New Roman" w:cs="Times New Roman"/>
          <w:i/>
          <w:highlight w:val="white"/>
        </w:rPr>
        <w:t xml:space="preserve">online, </w:t>
      </w:r>
      <w:r>
        <w:rPr>
          <w:rFonts w:ascii="Times New Roman" w:eastAsia="Times New Roman" w:hAnsi="Times New Roman" w:cs="Times New Roman"/>
          <w:highlight w:val="white"/>
        </w:rPr>
        <w:t xml:space="preserve">b) dissertações, teses, monografias, livros, capítulos de livros, anuários, relatórios e trabalhos de conclusão de curso, c) artigos que não realizaram medidas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pré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e pós-intervenção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highlight w:val="white"/>
        </w:rPr>
        <w:t>d) Artigos anteriores ao ano de 2016 foram excluídos</w:t>
      </w:r>
      <w:r>
        <w:rPr>
          <w:rFonts w:ascii="Times New Roman" w:eastAsia="Times New Roman" w:hAnsi="Times New Roman" w:cs="Times New Roman"/>
          <w:b/>
          <w:highlight w:val="white"/>
        </w:rPr>
        <w:t>.</w:t>
      </w:r>
    </w:p>
    <w:p w14:paraId="00000009" w14:textId="77777777" w:rsidR="00DF1525" w:rsidRDefault="00B26D03" w:rsidP="002D2588">
      <w:pPr>
        <w:spacing w:before="240"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A análise de dados dos artigos indicados foi realizada através de ficha de leitura, que buscou identificar: nome do artigo, autores, local, datas do estudo, objetivo, número de </w:t>
      </w:r>
      <w:r>
        <w:rPr>
          <w:rFonts w:ascii="Times New Roman" w:eastAsia="Times New Roman" w:hAnsi="Times New Roman" w:cs="Times New Roman"/>
          <w:highlight w:val="white"/>
        </w:rPr>
        <w:lastRenderedPageBreak/>
        <w:t>participantes, formato da intervenção, intervençã</w:t>
      </w:r>
      <w:r>
        <w:rPr>
          <w:rFonts w:ascii="Times New Roman" w:eastAsia="Times New Roman" w:hAnsi="Times New Roman" w:cs="Times New Roman"/>
          <w:color w:val="222222"/>
          <w:highlight w:val="white"/>
        </w:rPr>
        <w:t>o, instrumentos de avaliação e resultados dos artigos empíricos encontrados. </w:t>
      </w:r>
    </w:p>
    <w:p w14:paraId="0000000A" w14:textId="77777777" w:rsidR="00DF1525" w:rsidRDefault="00B26D03" w:rsidP="002D2588">
      <w:pPr>
        <w:spacing w:before="240" w:after="240" w:line="480" w:lineRule="auto"/>
        <w:ind w:left="-283" w:right="-2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Resultados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0B" w14:textId="77777777" w:rsidR="00DF1525" w:rsidRDefault="00B26D03" w:rsidP="002D2588">
      <w:pPr>
        <w:spacing w:line="480" w:lineRule="auto"/>
        <w:ind w:left="-283" w:right="-267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Totalizando 422 documentos encontrados, foram excluídos 81 por apresentarem duplicata entre as bases, 15 por não utilizarem intervenções com jogos eletrônicos como técnica principal, 163 por não contemplar a amostra desejada, 102 por não contemplar o conteúdo de memória e/ou atenção, 34 por não serem estudos empíricos experimentais ou quase experimentais, um por não contemplar o idioma e </w:t>
      </w:r>
      <w:r>
        <w:rPr>
          <w:rFonts w:ascii="Times New Roman" w:eastAsia="Times New Roman" w:hAnsi="Times New Roman" w:cs="Times New Roman"/>
        </w:rPr>
        <w:t>dois</w:t>
      </w:r>
      <w:r>
        <w:rPr>
          <w:rFonts w:ascii="Times New Roman" w:eastAsia="Times New Roman" w:hAnsi="Times New Roman" w:cs="Times New Roman"/>
          <w:color w:val="000000"/>
        </w:rPr>
        <w:t xml:space="preserve"> por não contemplar a data limite de exclusão. Desta forma, a revisão final contemplou um total de 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documentos. Porém, com a leitura na </w:t>
      </w:r>
      <w:r>
        <w:rPr>
          <w:rFonts w:ascii="Times New Roman" w:eastAsia="Times New Roman" w:hAnsi="Times New Roman" w:cs="Times New Roman"/>
        </w:rPr>
        <w:t>íntegra,</w:t>
      </w:r>
      <w:r>
        <w:rPr>
          <w:rFonts w:ascii="Times New Roman" w:eastAsia="Times New Roman" w:hAnsi="Times New Roman" w:cs="Times New Roman"/>
          <w:color w:val="000000"/>
        </w:rPr>
        <w:t xml:space="preserve"> foram </w:t>
      </w:r>
      <w:r>
        <w:rPr>
          <w:rFonts w:ascii="Times New Roman" w:eastAsia="Times New Roman" w:hAnsi="Times New Roman" w:cs="Times New Roman"/>
        </w:rPr>
        <w:t>retirados 02 artigos por método incompatível, 03 artigos por serem grupos de idosos não-saudáveis, 02 artigos pela população, 05 artigos por conteúdo inadequado e 01 artigo por estar fora do prazo da data de publicação.</w:t>
      </w:r>
    </w:p>
    <w:p w14:paraId="0000000D" w14:textId="1B7D82F0" w:rsidR="00DF1525" w:rsidRPr="003A6322" w:rsidRDefault="00B26D03" w:rsidP="002D2588">
      <w:pPr>
        <w:spacing w:line="480" w:lineRule="auto"/>
        <w:ind w:left="-283" w:right="-2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A Figura 1 apresenta o fluxograma dos artigos encontrados. O fluxograma contempla as fases de busca, que consiste na consulta da sintaxe em cada uma das bases de dados, assim como a quantidade final de artigos selecionados e analisados após a seleção, conforme os critérios de inclusão.</w:t>
      </w:r>
    </w:p>
    <w:p w14:paraId="20F7C0A3" w14:textId="0902AC58" w:rsidR="003A6322" w:rsidRDefault="00B26D03" w:rsidP="002D2588">
      <w:pPr>
        <w:spacing w:line="480" w:lineRule="auto"/>
        <w:ind w:left="-283" w:right="-2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***Inserir Figura 1 ***</w:t>
      </w:r>
    </w:p>
    <w:p w14:paraId="0000000F" w14:textId="7481571C" w:rsidR="00DF1525" w:rsidRDefault="00B26D03" w:rsidP="002D2588">
      <w:pPr>
        <w:spacing w:line="480" w:lineRule="auto"/>
        <w:ind w:left="-283" w:right="-267" w:firstLine="283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Na tabela 1 são sintetizados os principais dados dos artigos utilizados. Eles foram identificados através de números ordinais (1,2,3...), os quais foram utilizados como referência nas demais tabelas ao longo desta revisão sistemática.</w:t>
      </w:r>
    </w:p>
    <w:p w14:paraId="00000010" w14:textId="469A54BB" w:rsidR="00DF1525" w:rsidRDefault="00B26D03" w:rsidP="002D2588">
      <w:pPr>
        <w:spacing w:line="480" w:lineRule="auto"/>
        <w:ind w:left="-283" w:right="-2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***Inserir Tabela 1 ***</w:t>
      </w:r>
    </w:p>
    <w:p w14:paraId="00000011" w14:textId="77777777" w:rsidR="00DF1525" w:rsidRDefault="00B26D03" w:rsidP="002D2588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Tabela 2 exibe o número de participantes em cada experimento e após o número de participantes que continuaram na pesquisa, e número de participantes que continuaram depois da etapa inicial, além da idade média dos participantes e se eles foram expostos previamente a algum jogo eletrônico.</w:t>
      </w:r>
    </w:p>
    <w:p w14:paraId="00000012" w14:textId="29B15C95" w:rsidR="00DF1525" w:rsidRDefault="00B26D03" w:rsidP="002D2588">
      <w:pPr>
        <w:spacing w:line="480" w:lineRule="auto"/>
        <w:ind w:left="-283" w:right="-2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***Inserir Tabela 2 ***</w:t>
      </w:r>
    </w:p>
    <w:p w14:paraId="00000013" w14:textId="77777777" w:rsidR="00DF1525" w:rsidRDefault="00B26D03" w:rsidP="002D2588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número de participantes selecionados variou entre 16 e 230. Dentre eles, apenas quatro dos artigos tinham todos os participantes com experiência prévia. A soma de todas as amostras iniciais chegou a um número de 861 participantes, e após o início das intervenções restaram 701 participantes e a idade média foi de 72 até 79,4. A tabela 3 apresenta o aprimoramento cognitivo observado após as intervenções. Contém, ainda, as intervenções com jogos eletrônicos ou outras ferramentas utilizadas por cada estudo e informações acerca das intervenções (duração do treinamento em sessões e horas de treino. </w:t>
      </w:r>
    </w:p>
    <w:p w14:paraId="00000014" w14:textId="14398105" w:rsidR="00DF1525" w:rsidRDefault="00B26D03" w:rsidP="002D2588">
      <w:pPr>
        <w:spacing w:line="480" w:lineRule="auto"/>
        <w:ind w:left="-283" w:right="-2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***Inserir Tabela 3 ***</w:t>
      </w:r>
    </w:p>
    <w:p w14:paraId="00000015" w14:textId="77777777" w:rsidR="00DF1525" w:rsidRDefault="00B26D03" w:rsidP="002D2588">
      <w:pPr>
        <w:shd w:val="clear" w:color="auto" w:fill="FFFFFF"/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O envelhecimento ativo é conceito proposto pela OMS (2005) para o processo de otimização das oportunidades de saúde que visam melhorar a qualidade de vida das pessoas, à medida que ficam mais velhas. Portanto, programas que aumentem e/ou preservem a cognição de adultos mais velhos, auxiliam, por consequência, na capacidade funcional do sujeito.</w:t>
      </w:r>
    </w:p>
    <w:p w14:paraId="00000016" w14:textId="77777777" w:rsidR="00DF1525" w:rsidRDefault="00B26D03" w:rsidP="002D2588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Intervenções com jogos eletrônicos tiveram efeitos significativos na manutenção das funções cognitivas (</w:t>
      </w:r>
      <w:proofErr w:type="spellStart"/>
      <w:r>
        <w:rPr>
          <w:rFonts w:ascii="Times New Roman" w:eastAsia="Times New Roman" w:hAnsi="Times New Roman" w:cs="Times New Roman"/>
        </w:rPr>
        <w:t>Perrot</w:t>
      </w:r>
      <w:proofErr w:type="spellEnd"/>
      <w:r>
        <w:rPr>
          <w:rFonts w:ascii="Times New Roman" w:eastAsia="Times New Roman" w:hAnsi="Times New Roman" w:cs="Times New Roman"/>
        </w:rPr>
        <w:t xml:space="preserve"> et al., 2019), mostrando que a atividade mental tem sido relacionada com a melhora nos processos cognitivos, demonstrando melhores evoluções e diminuição no risco de demência (</w:t>
      </w:r>
      <w:proofErr w:type="spellStart"/>
      <w:r>
        <w:rPr>
          <w:rFonts w:ascii="Times New Roman" w:eastAsia="Times New Roman" w:hAnsi="Times New Roman" w:cs="Times New Roman"/>
        </w:rPr>
        <w:t>Ballesteros</w:t>
      </w:r>
      <w:proofErr w:type="spellEnd"/>
      <w:r>
        <w:rPr>
          <w:rFonts w:ascii="Times New Roman" w:eastAsia="Times New Roman" w:hAnsi="Times New Roman" w:cs="Times New Roman"/>
        </w:rPr>
        <w:t xml:space="preserve"> et al., 2017). Os jogos frequentemente podem ser considerados um passatempo juvenil, entretanto, alguns jogos podem proporcionar uma posição educacional, sendo útil e válido em intervenções para manter a saúde cognitiva na velhice (West et al., 2020).  </w:t>
      </w:r>
    </w:p>
    <w:p w14:paraId="00000017" w14:textId="77777777" w:rsidR="00DF1525" w:rsidRDefault="00B26D03" w:rsidP="002D2588">
      <w:pPr>
        <w:shd w:val="clear" w:color="auto" w:fill="FFFFFF"/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Alguns dos estudos abordaram a necessidade do aumento de pesquisas para verificar se o treinamento cognitivo com eletrônicos pode realmente melhorar as funções executivas, principalmente a atenção e memória de trabalho, bem como, o funcionamento diário em idosos (</w:t>
      </w:r>
      <w:proofErr w:type="spellStart"/>
      <w:r>
        <w:rPr>
          <w:rFonts w:ascii="Times New Roman" w:eastAsia="Times New Roman" w:hAnsi="Times New Roman" w:cs="Times New Roman"/>
        </w:rPr>
        <w:t>Ballesteros</w:t>
      </w:r>
      <w:proofErr w:type="spellEnd"/>
      <w:r>
        <w:rPr>
          <w:rFonts w:ascii="Times New Roman" w:eastAsia="Times New Roman" w:hAnsi="Times New Roman" w:cs="Times New Roman"/>
        </w:rPr>
        <w:t xml:space="preserve"> et al., 2017; West et al., 2020). No estudo (West et al., 2020), foi possível </w:t>
      </w:r>
      <w:r>
        <w:rPr>
          <w:rFonts w:ascii="Times New Roman" w:eastAsia="Times New Roman" w:hAnsi="Times New Roman" w:cs="Times New Roman"/>
        </w:rPr>
        <w:lastRenderedPageBreak/>
        <w:t>identificar que a cognição dos idosos não melhoram e nem decaem significativamente, mas possibilita a atenuação de declínio na cognição dos idosos. </w:t>
      </w:r>
    </w:p>
    <w:p w14:paraId="00000018" w14:textId="03C65A93" w:rsidR="009A3566" w:rsidRPr="009A3566" w:rsidRDefault="00B26D03" w:rsidP="009A3566">
      <w:pPr>
        <w:shd w:val="clear" w:color="auto" w:fill="FFFFFF"/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  <w:sectPr w:rsidR="009A3566" w:rsidRPr="009A3566">
          <w:headerReference w:type="default" r:id="rId7"/>
          <w:headerReference w:type="first" r:id="rId8"/>
          <w:pgSz w:w="11900" w:h="16840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</w:rPr>
        <w:t xml:space="preserve">Os resultados foram muito promissores, entretanto é evidenciado as limitações tendo, a aderência dos idosos nos treinamentos cognitivos e as durações das sessões de treinamento (West et al., 2020). Em relação ao delineamento, a modalidade de intervenção foi em sua totalidade, do tipo grupal. Em relação às categorias de grupos, 1/3 dos estudos contou com um grupo controle ativo comparado à uma intervenção e 1/3 usou dois grupos de intervenção comparada a um grupo controle não ativo. O restante, usou apenas um grupo intervenção e um grupo intervenção comparado a um grupo controle não ativo. Observou-se que a maior parte dos estudos usou medidas psicométricas em momentos </w:t>
      </w:r>
      <w:proofErr w:type="spellStart"/>
      <w:r>
        <w:rPr>
          <w:rFonts w:ascii="Times New Roman" w:eastAsia="Times New Roman" w:hAnsi="Times New Roman" w:cs="Times New Roman"/>
        </w:rPr>
        <w:t>pré</w:t>
      </w:r>
      <w:proofErr w:type="spellEnd"/>
      <w:r>
        <w:rPr>
          <w:rFonts w:ascii="Times New Roman" w:eastAsia="Times New Roman" w:hAnsi="Times New Roman" w:cs="Times New Roman"/>
        </w:rPr>
        <w:t xml:space="preserve"> e pós teste</w:t>
      </w:r>
      <w:r w:rsidR="009A3566">
        <w:rPr>
          <w:rFonts w:ascii="Times New Roman" w:eastAsia="Times New Roman" w:hAnsi="Times New Roman" w:cs="Times New Roman"/>
        </w:rPr>
        <w:t>.</w:t>
      </w:r>
      <w:r w:rsidR="009A3566">
        <w:rPr>
          <w:rFonts w:ascii="Times New Roman" w:eastAsia="Times New Roman" w:hAnsi="Times New Roman" w:cs="Times New Roman"/>
        </w:rPr>
        <w:tab/>
      </w:r>
    </w:p>
    <w:p w14:paraId="00000019" w14:textId="3C03CB7A" w:rsidR="00DF1525" w:rsidRDefault="002D2588" w:rsidP="009A3566">
      <w:pPr>
        <w:shd w:val="clear" w:color="auto" w:fill="FFFFFF"/>
        <w:spacing w:before="240" w:line="480" w:lineRule="auto"/>
        <w:ind w:right="-2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Discussão</w:t>
      </w:r>
    </w:p>
    <w:p w14:paraId="0000001A" w14:textId="77777777" w:rsidR="00DF1525" w:rsidRDefault="00DF1525">
      <w:pPr>
        <w:spacing w:line="480" w:lineRule="auto"/>
        <w:ind w:left="-283" w:right="-267"/>
        <w:rPr>
          <w:rFonts w:ascii="Times New Roman" w:eastAsia="Times New Roman" w:hAnsi="Times New Roman" w:cs="Times New Roman"/>
        </w:rPr>
      </w:pPr>
    </w:p>
    <w:p w14:paraId="0000001B" w14:textId="77777777" w:rsidR="00DF1525" w:rsidRDefault="00B26D03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O objetivo deste estudo foi investigar a eficácia de intervenções com jogos eletrônicos direcionada na memória e atenção da população idosa saudável, assim como apresentar os construtos teóricos que vêm sendo utilizados em tais intervenções. Os resultados obtidos confirmam a efetividade dos programas que utilizam jogos eletrônicos para o envelhecimento ativo e saudável, visto que em sua maior parte, as intervenções utilizadas incidiram na melhora dos aspectos cognitivos relacionados à atenção e memória. No dec</w:t>
      </w:r>
      <w:r>
        <w:rPr>
          <w:rFonts w:ascii="Times New Roman" w:eastAsia="Times New Roman" w:hAnsi="Times New Roman" w:cs="Times New Roman"/>
        </w:rPr>
        <w:t xml:space="preserve">orrer da pesquisa, foi possível perceber que quando se iniciou a busca nos bancos de dados, tivemos 422 documentos encontrados, porém com os critérios de inclusão e exclusão relatados na metodologia, pudemos perceber que apenas nove artigos puderam ser incluídos. </w:t>
      </w:r>
    </w:p>
    <w:p w14:paraId="0000001C" w14:textId="77777777" w:rsidR="00DF1525" w:rsidRDefault="00B26D03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Alguns estudos salientam que o treinamento com jogos eletrônicos proporciona o aumento de atividade em várias regiões do cérebro, como pré-frontal, cingulado, rede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fronto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parietal e executivo, entre outras (</w:t>
      </w:r>
      <w:proofErr w:type="spellStart"/>
      <w:r>
        <w:rPr>
          <w:rFonts w:ascii="Times New Roman" w:eastAsia="Times New Roman" w:hAnsi="Times New Roman" w:cs="Times New Roman"/>
        </w:rPr>
        <w:t>Pessini</w:t>
      </w:r>
      <w:proofErr w:type="spellEnd"/>
      <w:r>
        <w:rPr>
          <w:rFonts w:ascii="Times New Roman" w:eastAsia="Times New Roman" w:hAnsi="Times New Roman" w:cs="Times New Roman"/>
        </w:rPr>
        <w:t xml:space="preserve"> et al., 2018</w:t>
      </w:r>
      <w:r>
        <w:rPr>
          <w:rFonts w:ascii="Times New Roman" w:eastAsia="Times New Roman" w:hAnsi="Times New Roman" w:cs="Times New Roman"/>
          <w:color w:val="000000"/>
        </w:rPr>
        <w:t>; Barroso, Júnior, Lopes, Pereira, &amp; Ruiz, 2018). Destas regiões, é possível observar melhorias nas funções cognitivas como atenção e memória devida à intensidade na atividade cerebral proporcionada pelos jogos (</w:t>
      </w:r>
      <w:proofErr w:type="spellStart"/>
      <w:r>
        <w:rPr>
          <w:rFonts w:ascii="Times New Roman" w:eastAsia="Times New Roman" w:hAnsi="Times New Roman" w:cs="Times New Roman"/>
        </w:rPr>
        <w:t>Pessini</w:t>
      </w:r>
      <w:proofErr w:type="spellEnd"/>
      <w:r>
        <w:rPr>
          <w:rFonts w:ascii="Times New Roman" w:eastAsia="Times New Roman" w:hAnsi="Times New Roman" w:cs="Times New Roman"/>
        </w:rPr>
        <w:t xml:space="preserve"> et al., 2018</w:t>
      </w:r>
      <w:r>
        <w:rPr>
          <w:rFonts w:ascii="Times New Roman" w:eastAsia="Times New Roman" w:hAnsi="Times New Roman" w:cs="Times New Roman"/>
          <w:color w:val="000000"/>
        </w:rPr>
        <w:t>). Tais treinamentos de intervenção também tiveram melhoras cognitivas tanto em idosos saudáveis como em idosos com declínio cognitivo (Cardoso, Landenberger, &amp; Argimon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2017), mostrando a possibilidade do uso de jogos eletrônicos como uma forma de treinamento cognitivo e também de uso recreativo (Barroso</w:t>
      </w:r>
      <w:r>
        <w:rPr>
          <w:rFonts w:ascii="Times New Roman" w:eastAsia="Times New Roman" w:hAnsi="Times New Roman" w:cs="Times New Roman"/>
        </w:rPr>
        <w:t xml:space="preserve"> et al.</w:t>
      </w:r>
      <w:r>
        <w:rPr>
          <w:rFonts w:ascii="Times New Roman" w:eastAsia="Times New Roman" w:hAnsi="Times New Roman" w:cs="Times New Roman"/>
          <w:color w:val="000000"/>
        </w:rPr>
        <w:t>, 2018). </w:t>
      </w:r>
    </w:p>
    <w:p w14:paraId="0000001D" w14:textId="34AE59F6" w:rsidR="00DF1525" w:rsidRDefault="00B26D03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É indispensável </w:t>
      </w:r>
      <w:r>
        <w:rPr>
          <w:rFonts w:ascii="Times New Roman" w:eastAsia="Times New Roman" w:hAnsi="Times New Roman" w:cs="Times New Roman"/>
        </w:rPr>
        <w:t>dizer</w:t>
      </w:r>
      <w:r>
        <w:rPr>
          <w:rFonts w:ascii="Times New Roman" w:eastAsia="Times New Roman" w:hAnsi="Times New Roman" w:cs="Times New Roman"/>
          <w:color w:val="000000"/>
        </w:rPr>
        <w:t>, que estudos mencionam que o treinamento com jogos eletrônicos pode ser um fator favorável para o enve</w:t>
      </w:r>
      <w:r>
        <w:rPr>
          <w:rFonts w:ascii="Times New Roman" w:eastAsia="Times New Roman" w:hAnsi="Times New Roman" w:cs="Times New Roman"/>
        </w:rPr>
        <w:t>lhecimento com qualidade de vida e bem-estar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Pessini</w:t>
      </w:r>
      <w:proofErr w:type="spellEnd"/>
      <w:r>
        <w:rPr>
          <w:rFonts w:ascii="Times New Roman" w:eastAsia="Times New Roman" w:hAnsi="Times New Roman" w:cs="Times New Roman"/>
        </w:rPr>
        <w:t xml:space="preserve"> et al., 2018</w:t>
      </w:r>
      <w:r>
        <w:rPr>
          <w:rFonts w:ascii="Times New Roman" w:eastAsia="Times New Roman" w:hAnsi="Times New Roman" w:cs="Times New Roman"/>
          <w:color w:val="000000"/>
        </w:rPr>
        <w:t>), mostrando que os jogos podem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trazer vários benefícios aos idosos, nas dimensões físicas, sociais e psicológicas, propiciando o desenvolvimento do conhecimento, comunicação, lazer, entre outras (Meireles &amp; Fortes, 2016). Portanto, o treinamento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possibilitará o envelhecimento ativo e saudável, auxiliando na reabilitação física </w:t>
      </w:r>
      <w:r w:rsidR="002017B3">
        <w:rPr>
          <w:rFonts w:ascii="Times New Roman" w:eastAsia="Times New Roman" w:hAnsi="Times New Roman" w:cs="Times New Roman"/>
          <w:color w:val="000000"/>
        </w:rPr>
        <w:t>devido a</w:t>
      </w:r>
      <w:r>
        <w:rPr>
          <w:rFonts w:ascii="Times New Roman" w:eastAsia="Times New Roman" w:hAnsi="Times New Roman" w:cs="Times New Roman"/>
          <w:color w:val="000000"/>
        </w:rPr>
        <w:t xml:space="preserve"> melhorias nas funções cognitivas, contribuindo na plasticidade neuronal e funcional de idosos que vão tendo declínios devido ao envelhecimento natural (</w:t>
      </w:r>
      <w:proofErr w:type="spellStart"/>
      <w:r>
        <w:rPr>
          <w:rFonts w:ascii="Times New Roman" w:eastAsia="Times New Roman" w:hAnsi="Times New Roman" w:cs="Times New Roman"/>
        </w:rPr>
        <w:t>Pessini</w:t>
      </w:r>
      <w:proofErr w:type="spellEnd"/>
      <w:r>
        <w:rPr>
          <w:rFonts w:ascii="Times New Roman" w:eastAsia="Times New Roman" w:hAnsi="Times New Roman" w:cs="Times New Roman"/>
        </w:rPr>
        <w:t xml:space="preserve"> et al., 2018</w:t>
      </w:r>
      <w:r>
        <w:rPr>
          <w:rFonts w:ascii="Times New Roman" w:eastAsia="Times New Roman" w:hAnsi="Times New Roman" w:cs="Times New Roman"/>
          <w:color w:val="000000"/>
        </w:rPr>
        <w:t>). </w:t>
      </w:r>
    </w:p>
    <w:p w14:paraId="0000001E" w14:textId="77777777" w:rsidR="00DF1525" w:rsidRDefault="00B26D03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Destaca-se que não foram encontrados estudos brasileiros, evidenciando a necessidade e relevância de se desenvolver treinamentos e intervenções com jogos eletrônicos focados no envelhecimento ativo e saudável, tendo </w:t>
      </w:r>
      <w:r>
        <w:rPr>
          <w:rFonts w:ascii="Times New Roman" w:eastAsia="Times New Roman" w:hAnsi="Times New Roman" w:cs="Times New Roman"/>
        </w:rPr>
        <w:t>base</w:t>
      </w:r>
      <w:r>
        <w:rPr>
          <w:rFonts w:ascii="Times New Roman" w:eastAsia="Times New Roman" w:hAnsi="Times New Roman" w:cs="Times New Roman"/>
          <w:color w:val="000000"/>
        </w:rPr>
        <w:t xml:space="preserve"> nas funções cognitivas para a população idosa, a fim de que se possa preencher espaços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nos estudos em Psicologia e Neurologia na Gerontologia. Também foi possível encontrar estudos que não apresentaram descrições claras sobre como foram realizadas as intervenções. Esta falta de informação pode dificultar a realização de novos estudos na área, assim como impossibilitar que tais pesquisas possam ser replicadas em diferentes culturas. </w:t>
      </w:r>
    </w:p>
    <w:p w14:paraId="0000001F" w14:textId="77777777" w:rsidR="00DF1525" w:rsidRDefault="00B26D03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Diante da nova configuração demográfica mundial e o avanço dos meios eletrônicos, faz-se urgente o incentivo a atitudes positivas e inclusivas em relação ao envelhecimento ativo e saudável, haja visto sua importância para manutenção da saúde e capacidade funcional preservada. Portanto, entende-se </w:t>
      </w:r>
      <w:r>
        <w:rPr>
          <w:rFonts w:ascii="Times New Roman" w:eastAsia="Times New Roman" w:hAnsi="Times New Roman" w:cs="Times New Roman"/>
        </w:rPr>
        <w:t>que a realização de pesquisas com foco em programas e jogos que auxiliem na manutenção das funções cognitivas, constitui-se como ferramentas eficazes para auxiliar a qualidade de vida em idosos.</w:t>
      </w:r>
    </w:p>
    <w:p w14:paraId="00000020" w14:textId="77777777" w:rsidR="00DF1525" w:rsidRDefault="00DF1525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</w:p>
    <w:p w14:paraId="00000021" w14:textId="12673555" w:rsidR="00DF1525" w:rsidRDefault="002D2588">
      <w:pPr>
        <w:spacing w:line="480" w:lineRule="auto"/>
        <w:ind w:left="-283" w:right="-267" w:hanging="141"/>
        <w:rPr>
          <w:rFonts w:ascii="Times New Roman" w:eastAsia="Times New Roman" w:hAnsi="Times New Roman" w:cs="Times New Roman"/>
          <w:b/>
        </w:rPr>
      </w:pPr>
      <w:r w:rsidRPr="002D2588">
        <w:rPr>
          <w:rFonts w:ascii="Times New Roman" w:eastAsia="Times New Roman" w:hAnsi="Times New Roman" w:cs="Times New Roman"/>
          <w:b/>
        </w:rPr>
        <w:t>Considerações finais</w:t>
      </w:r>
    </w:p>
    <w:p w14:paraId="00000022" w14:textId="77777777" w:rsidR="00DF1525" w:rsidRDefault="00DF1525">
      <w:pPr>
        <w:spacing w:line="480" w:lineRule="auto"/>
        <w:ind w:left="-283" w:right="-267" w:hanging="141"/>
        <w:rPr>
          <w:rFonts w:ascii="Times New Roman" w:eastAsia="Times New Roman" w:hAnsi="Times New Roman" w:cs="Times New Roman"/>
          <w:b/>
        </w:rPr>
      </w:pPr>
    </w:p>
    <w:p w14:paraId="00000023" w14:textId="4B4856FF" w:rsidR="00DF1525" w:rsidRDefault="00B26D03" w:rsidP="002D2588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Este estudo torna evidente a grande diversidade de efeitos, na cognição dos idosos, proporcionados pelos jogos eletrônicos que foram utilizados como instrumentos de avaliação para compreender o aprimoramento nas funções cognitivas, com ênfase na memória e atenção. Os resultados encontrados nesta pesquisa apontam que os principais efeitos gerados </w:t>
      </w:r>
      <w:r>
        <w:rPr>
          <w:rFonts w:ascii="Times New Roman" w:eastAsia="Times New Roman" w:hAnsi="Times New Roman" w:cs="Times New Roman"/>
        </w:rPr>
        <w:lastRenderedPageBreak/>
        <w:t xml:space="preserve">pelos jogos eletrônicos nas funções cognitivas de idosos estão ligados a benefícios no campo da atenção e memória. </w:t>
      </w:r>
    </w:p>
    <w:p w14:paraId="00000024" w14:textId="77777777" w:rsidR="00DF1525" w:rsidRDefault="00B26D03" w:rsidP="002D2588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Observa-se que os principais benefícios nos campos mencionados anteriormente estão ligados ao aprimoramento cognitivo de idosos, estando relacionado com a qualidade de vida e bem-estar desta população. Na área da memória percebe-se prejuízos cognitivos relacionados ao envelhecimento natural, entretanto, podemos gerar qualidade de vida, com aprimoramentos que tornam a queda da memória inferior ao normal em casos que não possuem estímulos cognitivos. Na atenção observou-se relevância em comparação com a tenacidade e vigilância, conseguindo ter aprimoramento para manter suas atividades com qualidade.  </w:t>
      </w:r>
    </w:p>
    <w:p w14:paraId="00000025" w14:textId="77777777" w:rsidR="00DF1525" w:rsidRDefault="00B26D03" w:rsidP="002D2588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Além dos benefícios, os estudos analisados não apontaram para efeitos maléficos relacionados à exposição aos jogos eletrônicos. Portanto, é de extrema importância a realização de outras pesquisas sobre este tema, especialmente com a exposição prolongada aos jogos, para que seja possível compreender que dependência de internet ou de jogos eletrônicos também pode surgir.</w:t>
      </w:r>
    </w:p>
    <w:p w14:paraId="00000026" w14:textId="77777777" w:rsidR="00DF1525" w:rsidRDefault="00B26D03" w:rsidP="002D2588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Deve-se atentar ao fato de que para pesquisa futuras, seja priorizado questões sobre o tempo de duração aos benefícios gerados por estas intervenções com jogos eletrônicos, podendo compreender durante quanto tempo existe um efeito positivo sobre os aspectos cognitivos, e até que ponto estes benefícios são transferíveis para as atividades do dia-a-dia da população idosa (Barroso et al., 2018, Cardoso, Landenberger, &amp; Argimon, 2017 &amp; </w:t>
      </w:r>
      <w:proofErr w:type="spellStart"/>
      <w:r>
        <w:rPr>
          <w:rFonts w:ascii="Times New Roman" w:eastAsia="Times New Roman" w:hAnsi="Times New Roman" w:cs="Times New Roman"/>
        </w:rPr>
        <w:t>Pessini</w:t>
      </w:r>
      <w:proofErr w:type="spellEnd"/>
      <w:r>
        <w:rPr>
          <w:rFonts w:ascii="Times New Roman" w:eastAsia="Times New Roman" w:hAnsi="Times New Roman" w:cs="Times New Roman"/>
        </w:rPr>
        <w:t xml:space="preserve"> et al., 2018).</w:t>
      </w:r>
    </w:p>
    <w:p w14:paraId="00000027" w14:textId="77777777" w:rsidR="00DF1525" w:rsidRDefault="00B26D03" w:rsidP="002D2588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Percebeu-se a dificuldade de encontrar pesquisas que justificassem a importância da avaliação individual de cada um desses jogos eletrônicos, pois são instrumentos em processo de treinamento cognitivo, sendo utilizado como processo de reabilitação ou fortalecimento cognitivo. O processo de validação de instrumentos de caráter avaliativo é longo e rigoroso. </w:t>
      </w:r>
    </w:p>
    <w:p w14:paraId="00000028" w14:textId="77777777" w:rsidR="00DF1525" w:rsidRDefault="00B26D03" w:rsidP="002D2588">
      <w:pPr>
        <w:spacing w:line="480" w:lineRule="auto"/>
        <w:ind w:left="-283" w:right="-267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Para finalizar, considerando o atual cenário mundial, principalmente brasileiro, sentimos a falta de mais estudos nacionais, contemplando estes temas com a população idosa. Nota-se que faz necessário novas investigações nacionais, contemplando a validação destes instrumentos e a relação dos jogos eletrônicos e a cognição em idosos saudáveis e não-saudáveis.  </w:t>
      </w:r>
    </w:p>
    <w:p w14:paraId="00000029" w14:textId="77777777" w:rsidR="00DF1525" w:rsidRDefault="00DF1525">
      <w:pPr>
        <w:spacing w:line="360" w:lineRule="auto"/>
        <w:ind w:left="-283" w:right="-267"/>
        <w:jc w:val="both"/>
        <w:rPr>
          <w:rFonts w:ascii="Times New Roman" w:eastAsia="Times New Roman" w:hAnsi="Times New Roman" w:cs="Times New Roman"/>
          <w:b/>
        </w:rPr>
      </w:pPr>
    </w:p>
    <w:p w14:paraId="0000002A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2B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2C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2D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2F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2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3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4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5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6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7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8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9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A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B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C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D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E" w14:textId="6ED2B6AF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24B7384F" w14:textId="23F7F55C" w:rsidR="00D84717" w:rsidRDefault="00D84717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7A8C88E9" w14:textId="7C6D3F36" w:rsidR="00D84717" w:rsidRDefault="00D84717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61F0277" w14:textId="77777777" w:rsidR="00D84717" w:rsidRDefault="00D84717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3F" w14:textId="77777777" w:rsidR="00DF1525" w:rsidRDefault="00DF1525">
      <w:pPr>
        <w:spacing w:line="360" w:lineRule="auto"/>
        <w:ind w:left="-283" w:right="-267" w:firstLine="283"/>
        <w:jc w:val="both"/>
        <w:rPr>
          <w:rFonts w:ascii="Times New Roman" w:eastAsia="Times New Roman" w:hAnsi="Times New Roman" w:cs="Times New Roman"/>
        </w:rPr>
      </w:pPr>
    </w:p>
    <w:p w14:paraId="00000042" w14:textId="77777777" w:rsidR="00DF1525" w:rsidRDefault="00DF1525" w:rsidP="000B2D41">
      <w:pPr>
        <w:spacing w:line="360" w:lineRule="auto"/>
        <w:ind w:right="-267"/>
        <w:jc w:val="both"/>
        <w:rPr>
          <w:rFonts w:ascii="Times New Roman" w:eastAsia="Times New Roman" w:hAnsi="Times New Roman" w:cs="Times New Roman"/>
        </w:rPr>
      </w:pPr>
    </w:p>
    <w:p w14:paraId="00000043" w14:textId="77777777" w:rsidR="00DF1525" w:rsidRPr="003F28A8" w:rsidRDefault="00B26D03">
      <w:pPr>
        <w:shd w:val="clear" w:color="auto" w:fill="FFFFFF"/>
        <w:spacing w:before="240"/>
        <w:ind w:left="-283" w:right="-267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3F28A8">
        <w:rPr>
          <w:rFonts w:ascii="Times New Roman" w:eastAsia="Times New Roman" w:hAnsi="Times New Roman" w:cs="Times New Roman"/>
          <w:b/>
          <w:lang w:val="en-US"/>
        </w:rPr>
        <w:lastRenderedPageBreak/>
        <w:t>Referências</w:t>
      </w:r>
      <w:proofErr w:type="spellEnd"/>
    </w:p>
    <w:p w14:paraId="00000044" w14:textId="77777777" w:rsidR="00DF1525" w:rsidRPr="003F28A8" w:rsidRDefault="00DF1525">
      <w:pPr>
        <w:shd w:val="clear" w:color="auto" w:fill="FFFFFF"/>
        <w:ind w:left="-283" w:right="-267"/>
        <w:jc w:val="center"/>
        <w:rPr>
          <w:rFonts w:ascii="Times New Roman" w:eastAsia="Times New Roman" w:hAnsi="Times New Roman" w:cs="Times New Roman"/>
          <w:lang w:val="en-US"/>
        </w:rPr>
      </w:pPr>
    </w:p>
    <w:p w14:paraId="00000045" w14:textId="0E443327" w:rsidR="00DF1525" w:rsidRPr="00112277" w:rsidRDefault="000B2D41" w:rsidP="000B2D41">
      <w:pPr>
        <w:shd w:val="clear" w:color="auto" w:fill="FFFFFF"/>
        <w:spacing w:line="305" w:lineRule="auto"/>
        <w:ind w:left="-284" w:right="-267" w:firstLine="1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Balkom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T. D.,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Berendse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 H. W., Van der Werf, Y. D.,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Twisk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J. W. R.,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Zijlstra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I., Hagen, R. H., Berk, T.,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Vriend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C., &amp; Van den Heuvel, O. A. (2019). COGTIPS: a double-blind randomized active controlled trial protocol to study the effect of home-based, online cognitive training on cognition and brain networks in Parkinson's disease. </w:t>
      </w:r>
      <w:proofErr w:type="spellStart"/>
      <w:r w:rsidR="00B26D03" w:rsidRPr="00112277">
        <w:rPr>
          <w:rFonts w:ascii="Times New Roman" w:eastAsia="Times New Roman" w:hAnsi="Times New Roman" w:cs="Times New Roman"/>
          <w:i/>
          <w:lang w:val="en-US"/>
        </w:rPr>
        <w:t>PsychiatryAmsterdam</w:t>
      </w:r>
      <w:proofErr w:type="spellEnd"/>
      <w:r w:rsidR="00B26D03" w:rsidRPr="00112277">
        <w:rPr>
          <w:rFonts w:ascii="Times New Roman" w:eastAsia="Times New Roman" w:hAnsi="Times New Roman" w:cs="Times New Roman"/>
          <w:i/>
          <w:lang w:val="en-US"/>
        </w:rPr>
        <w:t xml:space="preserve"> Neuroscience</w:t>
      </w:r>
      <w:r w:rsidR="00B26D03" w:rsidRPr="00112277">
        <w:rPr>
          <w:rFonts w:ascii="Times New Roman" w:eastAsia="Times New Roman" w:hAnsi="Times New Roman" w:cs="Times New Roman"/>
          <w:lang w:val="en-US"/>
        </w:rPr>
        <w:t>,</w:t>
      </w:r>
      <w:r w:rsidR="00B26D03" w:rsidRPr="00112277">
        <w:rPr>
          <w:rFonts w:ascii="Times New Roman" w:eastAsia="Times New Roman" w:hAnsi="Times New Roman" w:cs="Times New Roman"/>
          <w:i/>
          <w:lang w:val="en-US"/>
        </w:rPr>
        <w:t xml:space="preserve"> 19</w:t>
      </w:r>
      <w:r w:rsidR="00B26D03" w:rsidRPr="00112277">
        <w:rPr>
          <w:rFonts w:ascii="Times New Roman" w:eastAsia="Times New Roman" w:hAnsi="Times New Roman" w:cs="Times New Roman"/>
          <w:lang w:val="en-US"/>
        </w:rPr>
        <w:t>(1), 1-13. https://doi.org/10.1186/s12883-019-1403-6</w:t>
      </w:r>
    </w:p>
    <w:p w14:paraId="00000046" w14:textId="77777777" w:rsidR="00DF1525" w:rsidRPr="00112277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47" w14:textId="658DA9CB" w:rsidR="00DF1525" w:rsidRPr="003F28A8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 w:rsidRPr="00112277">
        <w:rPr>
          <w:rFonts w:ascii="Times New Roman" w:eastAsia="Times New Roman" w:hAnsi="Times New Roman" w:cs="Times New Roman"/>
          <w:lang w:val="en-US"/>
        </w:rPr>
        <w:t xml:space="preserve">     </w:t>
      </w:r>
      <w:r w:rsidR="00B26D03" w:rsidRPr="00112277">
        <w:rPr>
          <w:rFonts w:ascii="Times New Roman" w:eastAsia="Times New Roman" w:hAnsi="Times New Roman" w:cs="Times New Roman"/>
          <w:lang w:val="en-US"/>
        </w:rPr>
        <w:t xml:space="preserve">Ballesteros, S., Mayas, J., Prieto, A., Ruiz-Marquez, E., Toril, P., &amp; </w:t>
      </w:r>
      <w:proofErr w:type="spellStart"/>
      <w:r w:rsidR="00B26D03" w:rsidRPr="00112277">
        <w:rPr>
          <w:rFonts w:ascii="Times New Roman" w:eastAsia="Times New Roman" w:hAnsi="Times New Roman" w:cs="Times New Roman"/>
          <w:lang w:val="en-US"/>
        </w:rPr>
        <w:t>Reales</w:t>
      </w:r>
      <w:proofErr w:type="spellEnd"/>
      <w:r w:rsidR="00B26D03" w:rsidRPr="00112277">
        <w:rPr>
          <w:rFonts w:ascii="Times New Roman" w:eastAsia="Times New Roman" w:hAnsi="Times New Roman" w:cs="Times New Roman"/>
          <w:lang w:val="en-US"/>
        </w:rPr>
        <w:t xml:space="preserve">, J. M. (2017). 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Effects of Video Game Training on Measures of Selective Attention and Working Memory in Older Adults: Results from a Randomized Controlled Trial. </w:t>
      </w:r>
      <w:r w:rsidR="00B26D03" w:rsidRPr="003F28A8">
        <w:rPr>
          <w:rFonts w:ascii="Times New Roman" w:eastAsia="Times New Roman" w:hAnsi="Times New Roman" w:cs="Times New Roman"/>
          <w:i/>
          <w:lang w:val="en-US"/>
        </w:rPr>
        <w:t>Frontiers in Aging Neuroscience, 9</w:t>
      </w:r>
      <w:r w:rsidR="00B26D03" w:rsidRPr="003F28A8">
        <w:rPr>
          <w:rFonts w:ascii="Times New Roman" w:eastAsia="Times New Roman" w:hAnsi="Times New Roman" w:cs="Times New Roman"/>
          <w:lang w:val="en-US"/>
        </w:rPr>
        <w:t>(354), 1-15. https://doi.org/10.3389/fnagi.2017.00354</w:t>
      </w:r>
    </w:p>
    <w:p w14:paraId="00000048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49" w14:textId="0C27DDF2" w:rsidR="00DF1525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</w:rPr>
      </w:pPr>
      <w:r w:rsidRPr="00112277">
        <w:rPr>
          <w:rFonts w:ascii="Times New Roman" w:eastAsia="Times New Roman" w:hAnsi="Times New Roman" w:cs="Times New Roman"/>
          <w:lang w:val="en-US"/>
        </w:rPr>
        <w:t xml:space="preserve">     </w:t>
      </w:r>
      <w:r w:rsidR="00B26D03" w:rsidRPr="00112277">
        <w:rPr>
          <w:rFonts w:ascii="Times New Roman" w:eastAsia="Times New Roman" w:hAnsi="Times New Roman" w:cs="Times New Roman"/>
          <w:lang w:val="en-US"/>
        </w:rPr>
        <w:t xml:space="preserve">Barroso, S. M., Júnior, J. H. C., Lopes, D. G., Pereira, F. E., &amp; Ruiz, J. M. (2018). </w:t>
      </w:r>
      <w:r w:rsidR="00B26D03">
        <w:rPr>
          <w:rFonts w:ascii="Times New Roman" w:eastAsia="Times New Roman" w:hAnsi="Times New Roman" w:cs="Times New Roman"/>
        </w:rPr>
        <w:t xml:space="preserve">Treinamento Cognitivo de Idosos com uso de jogos eletrônicos: um estudo de caso. </w:t>
      </w:r>
      <w:r w:rsidR="00B26D03">
        <w:rPr>
          <w:rFonts w:ascii="Times New Roman" w:eastAsia="Times New Roman" w:hAnsi="Times New Roman" w:cs="Times New Roman"/>
          <w:i/>
        </w:rPr>
        <w:t>Ciências e Cognição, 23</w:t>
      </w:r>
      <w:r w:rsidR="00B26D03">
        <w:rPr>
          <w:rFonts w:ascii="Times New Roman" w:eastAsia="Times New Roman" w:hAnsi="Times New Roman" w:cs="Times New Roman"/>
        </w:rPr>
        <w:t xml:space="preserve">(1), 43-53. http://www.cienciasecognicao.org/revista/index.php/cec/article/view/1396/pdf_105 </w:t>
      </w:r>
    </w:p>
    <w:p w14:paraId="0000004A" w14:textId="77777777" w:rsidR="00DF1525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</w:rPr>
      </w:pPr>
    </w:p>
    <w:p w14:paraId="0000004B" w14:textId="3DF3A5F9" w:rsidR="00DF1525" w:rsidRPr="000B2D41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 w:rsidRPr="00112277">
        <w:rPr>
          <w:rFonts w:ascii="Times New Roman" w:eastAsia="Times New Roman" w:hAnsi="Times New Roman" w:cs="Times New Roman"/>
        </w:rPr>
        <w:t xml:space="preserve">     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Bavelier, D., &amp; Green, C. S. (2016). The Brain-Boosting Power of Video Games. </w:t>
      </w:r>
      <w:r w:rsidR="00B26D03" w:rsidRPr="000B2D41">
        <w:rPr>
          <w:rFonts w:ascii="Times New Roman" w:eastAsia="Times New Roman" w:hAnsi="Times New Roman" w:cs="Times New Roman"/>
          <w:i/>
          <w:lang w:val="en-US"/>
        </w:rPr>
        <w:t>Scientific American, 315</w:t>
      </w:r>
      <w:r w:rsidR="00B26D03" w:rsidRPr="000B2D41">
        <w:rPr>
          <w:rFonts w:ascii="Times New Roman" w:eastAsia="Times New Roman" w:hAnsi="Times New Roman" w:cs="Times New Roman"/>
          <w:lang w:val="en-US"/>
        </w:rPr>
        <w:t>(1), 26-31. https://doi.org/10.1038/scientificamerican0716-26</w:t>
      </w:r>
    </w:p>
    <w:p w14:paraId="0000004C" w14:textId="77777777" w:rsidR="00DF1525" w:rsidRPr="000B2D41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4D" w14:textId="65243777" w:rsidR="00DF1525" w:rsidRPr="003F28A8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Belchior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>, P., Yam, A., Thomas, K.</w:t>
      </w:r>
      <w:proofErr w:type="gramStart"/>
      <w:r w:rsidR="00B26D03" w:rsidRPr="003F28A8">
        <w:rPr>
          <w:rFonts w:ascii="Times New Roman" w:eastAsia="Times New Roman" w:hAnsi="Times New Roman" w:cs="Times New Roman"/>
          <w:lang w:val="en-US"/>
        </w:rPr>
        <w:t>,  R.</w:t>
      </w:r>
      <w:proofErr w:type="gram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Bavelier, D., Ball, K. K., Mann, W. C., &amp;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Marsiske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M. (2018). Computer and Videogame Interventions for Older Adults' Cognitive and Everyday Functioning. </w:t>
      </w:r>
      <w:r w:rsidR="00B26D03" w:rsidRPr="003F28A8">
        <w:rPr>
          <w:rFonts w:ascii="Times New Roman" w:eastAsia="Times New Roman" w:hAnsi="Times New Roman" w:cs="Times New Roman"/>
          <w:i/>
          <w:lang w:val="en-US"/>
        </w:rPr>
        <w:t>Games for Health Journal, 8</w:t>
      </w:r>
      <w:r w:rsidR="00B26D03" w:rsidRPr="003F28A8">
        <w:rPr>
          <w:rFonts w:ascii="Times New Roman" w:eastAsia="Times New Roman" w:hAnsi="Times New Roman" w:cs="Times New Roman"/>
          <w:lang w:val="en-US"/>
        </w:rPr>
        <w:t>(2), 1-15. https://doi.org/10.1089/g4h.2017.0092</w:t>
      </w:r>
    </w:p>
    <w:p w14:paraId="0000004E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4F" w14:textId="0C83EFBD" w:rsidR="00DF1525" w:rsidRPr="003F28A8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Butler, M.,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McCreedy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E., Nelson, V. A., Desai, P., Ratner, E., Fink, H.A.,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Hemmy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L. S.,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McCarten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J. R., Barclay, T. R.,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Brasure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M., Davila, H., &amp; Kane, R. L. (2018). Does Cognitive Training Prevent Cognitive Decline? A systematic review. </w:t>
      </w:r>
      <w:r w:rsidR="00B26D03" w:rsidRPr="003F28A8">
        <w:rPr>
          <w:rFonts w:ascii="Times New Roman" w:eastAsia="Times New Roman" w:hAnsi="Times New Roman" w:cs="Times New Roman"/>
          <w:i/>
          <w:lang w:val="en-US"/>
        </w:rPr>
        <w:t>Annals of Internal Medicine, 168</w:t>
      </w:r>
      <w:r w:rsidR="00B26D03" w:rsidRPr="003F28A8">
        <w:rPr>
          <w:rFonts w:ascii="Times New Roman" w:eastAsia="Times New Roman" w:hAnsi="Times New Roman" w:cs="Times New Roman"/>
          <w:lang w:val="en-US"/>
        </w:rPr>
        <w:t>(1), 63-69. https://doi.org/10.7326/M17-1531</w:t>
      </w:r>
    </w:p>
    <w:p w14:paraId="00000050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51" w14:textId="12BC99D0" w:rsidR="00DF1525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</w:rPr>
      </w:pPr>
      <w:r w:rsidRPr="00112277">
        <w:rPr>
          <w:rFonts w:ascii="Times New Roman" w:eastAsia="Times New Roman" w:hAnsi="Times New Roman" w:cs="Times New Roman"/>
          <w:lang w:val="en-US"/>
        </w:rPr>
        <w:t xml:space="preserve">     </w:t>
      </w:r>
      <w:r w:rsidR="00B26D03">
        <w:rPr>
          <w:rFonts w:ascii="Times New Roman" w:eastAsia="Times New Roman" w:hAnsi="Times New Roman" w:cs="Times New Roman"/>
        </w:rPr>
        <w:t xml:space="preserve">Cardoso, N. O., Landenberger, T., &amp; Argimon, I. I. L. (2017). Jogos Eletrônicos como Instrumentos de Intervenção no Declínio Cognitivo - Uma Revisão Sistemática. </w:t>
      </w:r>
      <w:r w:rsidR="00B26D03">
        <w:rPr>
          <w:rFonts w:ascii="Times New Roman" w:eastAsia="Times New Roman" w:hAnsi="Times New Roman" w:cs="Times New Roman"/>
          <w:i/>
        </w:rPr>
        <w:t>Revista de Psicologia da IMED</w:t>
      </w:r>
      <w:r w:rsidR="00B26D03">
        <w:rPr>
          <w:rFonts w:ascii="Times New Roman" w:eastAsia="Times New Roman" w:hAnsi="Times New Roman" w:cs="Times New Roman"/>
        </w:rPr>
        <w:t xml:space="preserve">, </w:t>
      </w:r>
      <w:r w:rsidR="00B26D03">
        <w:rPr>
          <w:rFonts w:ascii="Times New Roman" w:eastAsia="Times New Roman" w:hAnsi="Times New Roman" w:cs="Times New Roman"/>
          <w:i/>
        </w:rPr>
        <w:t>9</w:t>
      </w:r>
      <w:r w:rsidR="00B26D03">
        <w:rPr>
          <w:rFonts w:ascii="Times New Roman" w:eastAsia="Times New Roman" w:hAnsi="Times New Roman" w:cs="Times New Roman"/>
        </w:rPr>
        <w:t xml:space="preserve">(1), 119-139. </w:t>
      </w:r>
      <w:hyperlink r:id="rId9">
        <w:r w:rsidR="00B26D03">
          <w:rPr>
            <w:rFonts w:ascii="Times New Roman" w:eastAsia="Times New Roman" w:hAnsi="Times New Roman" w:cs="Times New Roman"/>
          </w:rPr>
          <w:t>https://dx.doi.org/10.18256/2175-5027.2017.v9i1.1941</w:t>
        </w:r>
      </w:hyperlink>
    </w:p>
    <w:p w14:paraId="00000052" w14:textId="77777777" w:rsidR="00DF1525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</w:rPr>
      </w:pPr>
    </w:p>
    <w:p w14:paraId="00000053" w14:textId="06F57AE1" w:rsidR="00DF1525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B26D03">
        <w:rPr>
          <w:rFonts w:ascii="Times New Roman" w:eastAsia="Times New Roman" w:hAnsi="Times New Roman" w:cs="Times New Roman"/>
        </w:rPr>
        <w:t xml:space="preserve">Cardoso, N., Argimon, I. I. L., &amp; Pereira, V. T. (2017). Jogos Eletrônicos e a Cognição em Idosos - Uma Revisão Sistemática. </w:t>
      </w:r>
      <w:proofErr w:type="spellStart"/>
      <w:r w:rsidR="00B26D03">
        <w:rPr>
          <w:rFonts w:ascii="Times New Roman" w:eastAsia="Times New Roman" w:hAnsi="Times New Roman" w:cs="Times New Roman"/>
          <w:i/>
        </w:rPr>
        <w:t>Psicología</w:t>
      </w:r>
      <w:proofErr w:type="spellEnd"/>
      <w:r w:rsidR="00B26D03">
        <w:rPr>
          <w:rFonts w:ascii="Times New Roman" w:eastAsia="Times New Roman" w:hAnsi="Times New Roman" w:cs="Times New Roman"/>
          <w:i/>
        </w:rPr>
        <w:t xml:space="preserve"> desde </w:t>
      </w:r>
      <w:proofErr w:type="spellStart"/>
      <w:r w:rsidR="00B26D03">
        <w:rPr>
          <w:rFonts w:ascii="Times New Roman" w:eastAsia="Times New Roman" w:hAnsi="Times New Roman" w:cs="Times New Roman"/>
          <w:i/>
        </w:rPr>
        <w:t>el</w:t>
      </w:r>
      <w:proofErr w:type="spellEnd"/>
      <w:r w:rsidR="00B26D03">
        <w:rPr>
          <w:rFonts w:ascii="Times New Roman" w:eastAsia="Times New Roman" w:hAnsi="Times New Roman" w:cs="Times New Roman"/>
          <w:i/>
        </w:rPr>
        <w:t xml:space="preserve"> Caribe</w:t>
      </w:r>
      <w:r w:rsidR="00B26D03">
        <w:rPr>
          <w:rFonts w:ascii="Times New Roman" w:eastAsia="Times New Roman" w:hAnsi="Times New Roman" w:cs="Times New Roman"/>
        </w:rPr>
        <w:t xml:space="preserve">, </w:t>
      </w:r>
      <w:r w:rsidR="00B26D03">
        <w:rPr>
          <w:rFonts w:ascii="Times New Roman" w:eastAsia="Times New Roman" w:hAnsi="Times New Roman" w:cs="Times New Roman"/>
          <w:i/>
        </w:rPr>
        <w:t>34</w:t>
      </w:r>
      <w:r w:rsidR="00B26D03">
        <w:rPr>
          <w:rFonts w:ascii="Times New Roman" w:eastAsia="Times New Roman" w:hAnsi="Times New Roman" w:cs="Times New Roman"/>
        </w:rPr>
        <w:t xml:space="preserve">(2), 139-160. </w:t>
      </w:r>
      <w:hyperlink r:id="rId10">
        <w:r w:rsidR="00B26D03">
          <w:rPr>
            <w:rFonts w:ascii="Times New Roman" w:eastAsia="Times New Roman" w:hAnsi="Times New Roman" w:cs="Times New Roman"/>
          </w:rPr>
          <w:t>https://doi.org/10.14482/psdc.33.2.72784</w:t>
        </w:r>
      </w:hyperlink>
    </w:p>
    <w:p w14:paraId="00000054" w14:textId="77777777" w:rsidR="00DF1525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</w:rPr>
      </w:pPr>
    </w:p>
    <w:p w14:paraId="00000055" w14:textId="248F7F2C" w:rsidR="00DF1525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</w:t>
      </w:r>
      <w:r w:rsidR="00B26D03">
        <w:rPr>
          <w:rFonts w:ascii="Times New Roman" w:eastAsia="Times New Roman" w:hAnsi="Times New Roman" w:cs="Times New Roman"/>
        </w:rPr>
        <w:t xml:space="preserve">Gao, Y. (2019). 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Cognitive guidance and improvement of Alzheimer's disease patients based on human-computer interaction design. </w:t>
      </w:r>
      <w:proofErr w:type="spellStart"/>
      <w:r w:rsidR="00B26D03">
        <w:rPr>
          <w:rFonts w:ascii="Times New Roman" w:eastAsia="Times New Roman" w:hAnsi="Times New Roman" w:cs="Times New Roman"/>
          <w:i/>
        </w:rPr>
        <w:t>Cognitive</w:t>
      </w:r>
      <w:proofErr w:type="spellEnd"/>
      <w:r w:rsidR="00B26D03">
        <w:rPr>
          <w:rFonts w:ascii="Times New Roman" w:eastAsia="Times New Roman" w:hAnsi="Times New Roman" w:cs="Times New Roman"/>
          <w:i/>
        </w:rPr>
        <w:t xml:space="preserve"> Systems </w:t>
      </w:r>
      <w:proofErr w:type="spellStart"/>
      <w:r w:rsidR="00B26D03">
        <w:rPr>
          <w:rFonts w:ascii="Times New Roman" w:eastAsia="Times New Roman" w:hAnsi="Times New Roman" w:cs="Times New Roman"/>
          <w:i/>
        </w:rPr>
        <w:t>Research</w:t>
      </w:r>
      <w:proofErr w:type="spellEnd"/>
      <w:r w:rsidR="00B26D03">
        <w:rPr>
          <w:rFonts w:ascii="Times New Roman" w:eastAsia="Times New Roman" w:hAnsi="Times New Roman" w:cs="Times New Roman"/>
          <w:i/>
        </w:rPr>
        <w:t>, 56</w:t>
      </w:r>
      <w:r w:rsidR="00B26D03">
        <w:rPr>
          <w:rFonts w:ascii="Times New Roman" w:eastAsia="Times New Roman" w:hAnsi="Times New Roman" w:cs="Times New Roman"/>
        </w:rPr>
        <w:t>, 192-102. https://doi.org/10.1016/j.cogsys.2018.12.006</w:t>
      </w:r>
    </w:p>
    <w:p w14:paraId="00000056" w14:textId="77777777" w:rsidR="00DF1525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</w:rPr>
      </w:pPr>
    </w:p>
    <w:p w14:paraId="00000057" w14:textId="34AF6DED" w:rsidR="00DF1525" w:rsidRPr="003F28A8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     </w:t>
      </w:r>
      <w:proofErr w:type="spellStart"/>
      <w:r w:rsidR="00B26D03">
        <w:rPr>
          <w:rFonts w:ascii="Times New Roman" w:eastAsia="Times New Roman" w:hAnsi="Times New Roman" w:cs="Times New Roman"/>
        </w:rPr>
        <w:t>Gamito</w:t>
      </w:r>
      <w:proofErr w:type="spellEnd"/>
      <w:r w:rsidR="00B26D03">
        <w:rPr>
          <w:rFonts w:ascii="Times New Roman" w:eastAsia="Times New Roman" w:hAnsi="Times New Roman" w:cs="Times New Roman"/>
        </w:rPr>
        <w:t xml:space="preserve">, P., Oliveira, J., Morais, D., Coelho, C., Santos, N., Alves, C., </w:t>
      </w:r>
      <w:proofErr w:type="spellStart"/>
      <w:r w:rsidR="00B26D03">
        <w:rPr>
          <w:rFonts w:ascii="Times New Roman" w:eastAsia="Times New Roman" w:hAnsi="Times New Roman" w:cs="Times New Roman"/>
        </w:rPr>
        <w:t>Galamba</w:t>
      </w:r>
      <w:proofErr w:type="spellEnd"/>
      <w:r w:rsidR="00B26D03">
        <w:rPr>
          <w:rFonts w:ascii="Times New Roman" w:eastAsia="Times New Roman" w:hAnsi="Times New Roman" w:cs="Times New Roman"/>
        </w:rPr>
        <w:t xml:space="preserve">, A., Soeiro, M., </w:t>
      </w:r>
      <w:proofErr w:type="spellStart"/>
      <w:r w:rsidR="00B26D03">
        <w:rPr>
          <w:rFonts w:ascii="Times New Roman" w:eastAsia="Times New Roman" w:hAnsi="Times New Roman" w:cs="Times New Roman"/>
        </w:rPr>
        <w:t>Yerra</w:t>
      </w:r>
      <w:proofErr w:type="spellEnd"/>
      <w:r w:rsidR="00B26D03">
        <w:rPr>
          <w:rFonts w:ascii="Times New Roman" w:eastAsia="Times New Roman" w:hAnsi="Times New Roman" w:cs="Times New Roman"/>
        </w:rPr>
        <w:t xml:space="preserve">, M., </w:t>
      </w:r>
      <w:proofErr w:type="spellStart"/>
      <w:r w:rsidR="00B26D03">
        <w:rPr>
          <w:rFonts w:ascii="Times New Roman" w:eastAsia="Times New Roman" w:hAnsi="Times New Roman" w:cs="Times New Roman"/>
        </w:rPr>
        <w:t>French</w:t>
      </w:r>
      <w:proofErr w:type="spellEnd"/>
      <w:r w:rsidR="00B26D03">
        <w:rPr>
          <w:rFonts w:ascii="Times New Roman" w:eastAsia="Times New Roman" w:hAnsi="Times New Roman" w:cs="Times New Roman"/>
        </w:rPr>
        <w:t xml:space="preserve">, H., </w:t>
      </w:r>
      <w:proofErr w:type="spellStart"/>
      <w:r w:rsidR="00B26D03">
        <w:rPr>
          <w:rFonts w:ascii="Times New Roman" w:eastAsia="Times New Roman" w:hAnsi="Times New Roman" w:cs="Times New Roman"/>
        </w:rPr>
        <w:t>Talmers</w:t>
      </w:r>
      <w:proofErr w:type="spellEnd"/>
      <w:r w:rsidR="00B26D03">
        <w:rPr>
          <w:rFonts w:ascii="Times New Roman" w:eastAsia="Times New Roman" w:hAnsi="Times New Roman" w:cs="Times New Roman"/>
        </w:rPr>
        <w:t xml:space="preserve">, L., Gomes, T., &amp; Brito, R. (2018). 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Cognitive Stimulation of Elderly Individuals with Instrumental Virtual Reality-Based Activities of Daily Life: Pre-Post Treatment Study. </w:t>
      </w:r>
      <w:r w:rsidR="00B26D03" w:rsidRPr="003F28A8">
        <w:rPr>
          <w:rFonts w:ascii="Times New Roman" w:eastAsia="Times New Roman" w:hAnsi="Times New Roman" w:cs="Times New Roman"/>
          <w:i/>
          <w:lang w:val="en-US"/>
        </w:rPr>
        <w:t>Cyberpsychology, Behavior, and Social Networking, 22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(1), 69-75. </w:t>
      </w:r>
      <w:hyperlink r:id="rId11">
        <w:r w:rsidR="00B26D03" w:rsidRPr="003F28A8">
          <w:rPr>
            <w:rFonts w:ascii="Times New Roman" w:eastAsia="Times New Roman" w:hAnsi="Times New Roman" w:cs="Times New Roman"/>
            <w:lang w:val="en-US"/>
          </w:rPr>
          <w:t>https://doi.org/</w:t>
        </w:r>
      </w:hyperlink>
      <w:r w:rsidR="00B26D03" w:rsidRPr="003F28A8">
        <w:rPr>
          <w:rFonts w:ascii="Times New Roman" w:eastAsia="Times New Roman" w:hAnsi="Times New Roman" w:cs="Times New Roman"/>
          <w:lang w:val="en-US"/>
        </w:rPr>
        <w:t>10.1089/cyber.2017.0679</w:t>
      </w:r>
    </w:p>
    <w:p w14:paraId="00000058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59" w14:textId="1E6C63C8" w:rsidR="00DF1525" w:rsidRPr="003F28A8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 w:rsidRPr="00112277"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spellStart"/>
      <w:r w:rsidR="00B26D03" w:rsidRPr="00112277">
        <w:rPr>
          <w:rFonts w:ascii="Times New Roman" w:eastAsia="Times New Roman" w:hAnsi="Times New Roman" w:cs="Times New Roman"/>
          <w:lang w:val="en-US"/>
        </w:rPr>
        <w:t>Gamito</w:t>
      </w:r>
      <w:proofErr w:type="spellEnd"/>
      <w:r w:rsidR="00B26D03" w:rsidRPr="00112277">
        <w:rPr>
          <w:rFonts w:ascii="Times New Roman" w:eastAsia="Times New Roman" w:hAnsi="Times New Roman" w:cs="Times New Roman"/>
          <w:lang w:val="en-US"/>
        </w:rPr>
        <w:t xml:space="preserve">, P., Oliveira, J., Alves, C., Santos, N., Coelho, C., &amp; Brito, R. (2020). 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Virtual Reality-Based Cognitive Stimulation to Improve Cognitive Functioning in Community Elderly: A Controlled Study. </w:t>
      </w:r>
      <w:r w:rsidR="00B26D03" w:rsidRPr="003F28A8">
        <w:rPr>
          <w:rFonts w:ascii="Times New Roman" w:eastAsia="Times New Roman" w:hAnsi="Times New Roman" w:cs="Times New Roman"/>
          <w:i/>
          <w:lang w:val="en-US"/>
        </w:rPr>
        <w:t>Cyberpsychology, Behavior, and Social Networking, 23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(3), 150-156. </w:t>
      </w:r>
      <w:hyperlink r:id="rId12">
        <w:r w:rsidR="00B26D03" w:rsidRPr="003F28A8">
          <w:rPr>
            <w:rFonts w:ascii="Times New Roman" w:eastAsia="Times New Roman" w:hAnsi="Times New Roman" w:cs="Times New Roman"/>
            <w:lang w:val="en-US"/>
          </w:rPr>
          <w:t>https://doi.org/</w:t>
        </w:r>
      </w:hyperlink>
      <w:r w:rsidR="00B26D03" w:rsidRPr="003F28A8">
        <w:rPr>
          <w:rFonts w:ascii="Times New Roman" w:eastAsia="Times New Roman" w:hAnsi="Times New Roman" w:cs="Times New Roman"/>
          <w:lang w:val="en-US"/>
        </w:rPr>
        <w:t>10.1089/cyber.2019.0271</w:t>
      </w:r>
    </w:p>
    <w:p w14:paraId="0000005A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5B" w14:textId="3CD74435" w:rsidR="00DF1525" w:rsidRPr="003F28A8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Gué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R. M. (2013).  </w:t>
      </w:r>
      <w:r w:rsidR="00B26D03">
        <w:rPr>
          <w:rFonts w:ascii="Times New Roman" w:eastAsia="Times New Roman" w:hAnsi="Times New Roman" w:cs="Times New Roman"/>
        </w:rPr>
        <w:t xml:space="preserve">Envelhecimento Ativo: Uma Estratégia de Abordagem da Velhice. In N. L. Terra, A. J. G. </w:t>
      </w:r>
      <w:proofErr w:type="spellStart"/>
      <w:r w:rsidR="00B26D03">
        <w:rPr>
          <w:rFonts w:ascii="Times New Roman" w:eastAsia="Times New Roman" w:hAnsi="Times New Roman" w:cs="Times New Roman"/>
        </w:rPr>
        <w:t>Bós</w:t>
      </w:r>
      <w:proofErr w:type="spellEnd"/>
      <w:r w:rsidR="00B26D03">
        <w:rPr>
          <w:rFonts w:ascii="Times New Roman" w:eastAsia="Times New Roman" w:hAnsi="Times New Roman" w:cs="Times New Roman"/>
        </w:rPr>
        <w:t>, &amp; N. Castilhos (</w:t>
      </w:r>
      <w:proofErr w:type="spellStart"/>
      <w:r w:rsidR="00B26D03">
        <w:rPr>
          <w:rFonts w:ascii="Times New Roman" w:eastAsia="Times New Roman" w:hAnsi="Times New Roman" w:cs="Times New Roman"/>
        </w:rPr>
        <w:t>Orgs</w:t>
      </w:r>
      <w:proofErr w:type="spellEnd"/>
      <w:r w:rsidR="00B26D03">
        <w:rPr>
          <w:rFonts w:ascii="Times New Roman" w:eastAsia="Times New Roman" w:hAnsi="Times New Roman" w:cs="Times New Roman"/>
        </w:rPr>
        <w:t xml:space="preserve">.), </w:t>
      </w:r>
      <w:r w:rsidR="00B26D03">
        <w:rPr>
          <w:rFonts w:ascii="Times New Roman" w:eastAsia="Times New Roman" w:hAnsi="Times New Roman" w:cs="Times New Roman"/>
          <w:i/>
        </w:rPr>
        <w:t>Temas sobre Envelhecimento Ativo</w:t>
      </w:r>
      <w:r w:rsidR="00B26D03">
        <w:rPr>
          <w:rFonts w:ascii="Times New Roman" w:eastAsia="Times New Roman" w:hAnsi="Times New Roman" w:cs="Times New Roman"/>
        </w:rPr>
        <w:t xml:space="preserve"> (1. ed., pp. 265-285).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Edipucrs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. </w:t>
      </w:r>
    </w:p>
    <w:p w14:paraId="0000005C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5D" w14:textId="4DFB0E14" w:rsidR="00DF1525" w:rsidRPr="003F28A8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Grönholm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-Nyman, P.,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Soveri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A., Rinne, J. O.,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Ek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E.,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Nyholm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A., Neely, A., Laine, M. (2017). Limited Effects of Set Shifting Training in Healthy Older Adults. </w:t>
      </w:r>
      <w:r w:rsidR="00B26D03" w:rsidRPr="003F28A8">
        <w:rPr>
          <w:rFonts w:ascii="Times New Roman" w:eastAsia="Times New Roman" w:hAnsi="Times New Roman" w:cs="Times New Roman"/>
          <w:i/>
          <w:lang w:val="en-US"/>
        </w:rPr>
        <w:t>Frontiers in Aging Neuroscience, 9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(69), 1-21. </w:t>
      </w:r>
      <w:hyperlink r:id="rId13">
        <w:r w:rsidR="00B26D03" w:rsidRPr="003F28A8">
          <w:rPr>
            <w:rFonts w:ascii="Times New Roman" w:eastAsia="Times New Roman" w:hAnsi="Times New Roman" w:cs="Times New Roman"/>
            <w:lang w:val="en-US"/>
          </w:rPr>
          <w:t>https://doi.org/</w:t>
        </w:r>
      </w:hyperlink>
      <w:r w:rsidR="00B26D03" w:rsidRPr="003F28A8">
        <w:rPr>
          <w:rFonts w:ascii="Times New Roman" w:eastAsia="Times New Roman" w:hAnsi="Times New Roman" w:cs="Times New Roman"/>
          <w:lang w:val="en-US"/>
        </w:rPr>
        <w:t>10.3389/fnagi.2017.00069</w:t>
      </w:r>
    </w:p>
    <w:p w14:paraId="0000005E" w14:textId="77777777" w:rsidR="00DF1525" w:rsidRPr="003F28A8" w:rsidRDefault="00B26D03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  <w:r w:rsidRPr="003F28A8">
        <w:rPr>
          <w:rFonts w:ascii="Times New Roman" w:eastAsia="Times New Roman" w:hAnsi="Times New Roman" w:cs="Times New Roman"/>
          <w:lang w:val="en-US"/>
        </w:rPr>
        <w:t> </w:t>
      </w:r>
    </w:p>
    <w:p w14:paraId="0000005F" w14:textId="3A2EE35A" w:rsidR="00DF1525" w:rsidRPr="003F28A8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Jirayucharoensak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S.,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Israsena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>, P., Pan-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ngum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S.,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Hemrungrojn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S.,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Maes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M. (2019). A game-based neurofeedback training system to enhance cognitive performance in healthy elderly subjects and in patients with amnestic mild cognitive impairment. </w:t>
      </w:r>
      <w:r w:rsidR="00B26D03" w:rsidRPr="003F28A8">
        <w:rPr>
          <w:rFonts w:ascii="Times New Roman" w:eastAsia="Times New Roman" w:hAnsi="Times New Roman" w:cs="Times New Roman"/>
          <w:i/>
          <w:lang w:val="en-US"/>
        </w:rPr>
        <w:t>Clinical Interventions in Aging, 14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347-360.  </w:t>
      </w:r>
      <w:hyperlink r:id="rId14">
        <w:r w:rsidR="00B26D03" w:rsidRPr="003F28A8">
          <w:rPr>
            <w:rFonts w:ascii="Times New Roman" w:eastAsia="Times New Roman" w:hAnsi="Times New Roman" w:cs="Times New Roman"/>
            <w:lang w:val="en-US"/>
          </w:rPr>
          <w:t>https://doi.org/</w:t>
        </w:r>
      </w:hyperlink>
      <w:r w:rsidR="00B26D03" w:rsidRPr="003F28A8">
        <w:rPr>
          <w:rFonts w:ascii="Times New Roman" w:eastAsia="Times New Roman" w:hAnsi="Times New Roman" w:cs="Times New Roman"/>
          <w:lang w:val="en-US"/>
        </w:rPr>
        <w:t>10.2147/CIA.S189047</w:t>
      </w:r>
    </w:p>
    <w:p w14:paraId="00000060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61" w14:textId="49C4C9CA" w:rsidR="00DF1525" w:rsidRPr="003F28A8" w:rsidRDefault="000B2D41" w:rsidP="000B2D41">
      <w:pPr>
        <w:shd w:val="clear" w:color="auto" w:fill="FFFFFF"/>
        <w:spacing w:line="305" w:lineRule="auto"/>
        <w:ind w:left="-284" w:right="-267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     </w:t>
      </w:r>
      <w:r w:rsidR="00B26D03" w:rsidRPr="003F28A8">
        <w:rPr>
          <w:rFonts w:ascii="Times New Roman" w:eastAsia="Times New Roman" w:hAnsi="Times New Roman" w:cs="Times New Roman"/>
          <w:color w:val="000000"/>
          <w:lang w:val="en-US"/>
        </w:rPr>
        <w:t>McCord, A</w:t>
      </w:r>
      <w:r w:rsidR="00B26D03" w:rsidRPr="003F28A8">
        <w:rPr>
          <w:rFonts w:ascii="Times New Roman" w:eastAsia="Times New Roman" w:hAnsi="Times New Roman" w:cs="Times New Roman"/>
          <w:lang w:val="en-US"/>
        </w:rPr>
        <w:t>.,</w:t>
      </w:r>
      <w:r w:rsidR="00B26D03" w:rsidRPr="003F28A8">
        <w:rPr>
          <w:rFonts w:ascii="Times New Roman" w:eastAsia="Times New Roman" w:hAnsi="Times New Roman" w:cs="Times New Roman"/>
          <w:color w:val="000000"/>
          <w:lang w:val="en-US"/>
        </w:rPr>
        <w:t xml:space="preserve"> Cocks, B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., </w:t>
      </w:r>
      <w:proofErr w:type="spellStart"/>
      <w:r w:rsidR="00B26D03" w:rsidRPr="003F28A8">
        <w:rPr>
          <w:rFonts w:ascii="Times New Roman" w:eastAsia="Times New Roman" w:hAnsi="Times New Roman" w:cs="Times New Roman"/>
          <w:color w:val="000000"/>
          <w:lang w:val="en-US"/>
        </w:rPr>
        <w:t>Barreiros</w:t>
      </w:r>
      <w:proofErr w:type="spellEnd"/>
      <w:r w:rsidR="00B26D03" w:rsidRPr="003F28A8">
        <w:rPr>
          <w:rFonts w:ascii="Times New Roman" w:eastAsia="Times New Roman" w:hAnsi="Times New Roman" w:cs="Times New Roman"/>
          <w:color w:val="000000"/>
          <w:lang w:val="en-US"/>
        </w:rPr>
        <w:t>, A</w:t>
      </w:r>
      <w:r w:rsidR="00B26D03" w:rsidRPr="003F28A8">
        <w:rPr>
          <w:rFonts w:ascii="Times New Roman" w:eastAsia="Times New Roman" w:hAnsi="Times New Roman" w:cs="Times New Roman"/>
          <w:lang w:val="en-US"/>
        </w:rPr>
        <w:t>. R.,</w:t>
      </w:r>
      <w:r w:rsidR="00B26D03" w:rsidRPr="003F28A8">
        <w:rPr>
          <w:rFonts w:ascii="Times New Roman" w:eastAsia="Times New Roman" w:hAnsi="Times New Roman" w:cs="Times New Roman"/>
          <w:color w:val="000000"/>
          <w:lang w:val="en-US"/>
        </w:rPr>
        <w:t xml:space="preserve"> &amp; </w:t>
      </w:r>
      <w:proofErr w:type="spellStart"/>
      <w:r w:rsidR="00B26D03" w:rsidRPr="003F28A8">
        <w:rPr>
          <w:rFonts w:ascii="Times New Roman" w:eastAsia="Times New Roman" w:hAnsi="Times New Roman" w:cs="Times New Roman"/>
          <w:color w:val="000000"/>
          <w:lang w:val="en-US"/>
        </w:rPr>
        <w:t>Bizo</w:t>
      </w:r>
      <w:proofErr w:type="spellEnd"/>
      <w:r w:rsidR="00B26D03" w:rsidRPr="003F28A8">
        <w:rPr>
          <w:rFonts w:ascii="Times New Roman" w:eastAsia="Times New Roman" w:hAnsi="Times New Roman" w:cs="Times New Roman"/>
          <w:color w:val="000000"/>
          <w:lang w:val="en-US"/>
        </w:rPr>
        <w:t>, Lewis</w:t>
      </w:r>
      <w:r w:rsidR="00B26D03" w:rsidRPr="003F28A8">
        <w:rPr>
          <w:rFonts w:ascii="Times New Roman" w:eastAsia="Times New Roman" w:hAnsi="Times New Roman" w:cs="Times New Roman"/>
          <w:lang w:val="en-US"/>
        </w:rPr>
        <w:t>, A</w:t>
      </w:r>
      <w:r w:rsidR="00B26D03" w:rsidRPr="003F28A8">
        <w:rPr>
          <w:rFonts w:ascii="Times New Roman" w:eastAsia="Times New Roman" w:hAnsi="Times New Roman" w:cs="Times New Roman"/>
          <w:color w:val="000000"/>
          <w:lang w:val="en-US"/>
        </w:rPr>
        <w:t>. (2020) Short video game play improves executive function in the o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ldest old living in residential care. </w:t>
      </w:r>
      <w:r w:rsidR="00B26D03" w:rsidRPr="003F28A8">
        <w:rPr>
          <w:rFonts w:ascii="Times New Roman" w:eastAsia="Times New Roman" w:hAnsi="Times New Roman" w:cs="Times New Roman"/>
          <w:i/>
          <w:lang w:val="en-US"/>
        </w:rPr>
        <w:t>Computers in Human Behavior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1-32.  </w:t>
      </w:r>
      <w:hyperlink r:id="rId15">
        <w:r w:rsidR="00B26D03" w:rsidRPr="003F28A8">
          <w:rPr>
            <w:rFonts w:ascii="Times New Roman" w:eastAsia="Times New Roman" w:hAnsi="Times New Roman" w:cs="Times New Roman"/>
            <w:lang w:val="en-US"/>
          </w:rPr>
          <w:t>https://doi.org/</w:t>
        </w:r>
      </w:hyperlink>
      <w:r w:rsidR="00B26D03" w:rsidRPr="003F28A8">
        <w:rPr>
          <w:rFonts w:ascii="Times New Roman" w:eastAsia="Times New Roman" w:hAnsi="Times New Roman" w:cs="Times New Roman"/>
          <w:lang w:val="en-US"/>
        </w:rPr>
        <w:t>10.1016/j.chb.2020.106337</w:t>
      </w:r>
    </w:p>
    <w:p w14:paraId="00000062" w14:textId="77777777" w:rsidR="00DF1525" w:rsidRPr="003F28A8" w:rsidRDefault="00DF1525" w:rsidP="000B2D41">
      <w:pPr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63" w14:textId="1E2B1209" w:rsidR="00DF1525" w:rsidRDefault="000B2D41" w:rsidP="000B2D41">
      <w:pPr>
        <w:spacing w:line="305" w:lineRule="auto"/>
        <w:ind w:left="-284" w:right="-2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Moher, D.,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Liberati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A., </w:t>
      </w:r>
      <w:proofErr w:type="spellStart"/>
      <w:r w:rsidR="00B26D03" w:rsidRPr="003F28A8">
        <w:rPr>
          <w:rFonts w:ascii="Times New Roman" w:eastAsia="Times New Roman" w:hAnsi="Times New Roman" w:cs="Times New Roman"/>
          <w:lang w:val="en-US"/>
        </w:rPr>
        <w:t>Tetzlaff</w:t>
      </w:r>
      <w:proofErr w:type="spellEnd"/>
      <w:r w:rsidR="00B26D03" w:rsidRPr="003F28A8">
        <w:rPr>
          <w:rFonts w:ascii="Times New Roman" w:eastAsia="Times New Roman" w:hAnsi="Times New Roman" w:cs="Times New Roman"/>
          <w:lang w:val="en-US"/>
        </w:rPr>
        <w:t xml:space="preserve">, J., &amp; Altman, D. G. (2009). Preferred Reporting Items for Systematic Reviews and Meta-Analyses: The PRISMA Statement. </w:t>
      </w:r>
      <w:proofErr w:type="spellStart"/>
      <w:r w:rsidR="00B26D03">
        <w:rPr>
          <w:rFonts w:ascii="Times New Roman" w:eastAsia="Times New Roman" w:hAnsi="Times New Roman" w:cs="Times New Roman"/>
          <w:i/>
        </w:rPr>
        <w:t>Plos</w:t>
      </w:r>
      <w:proofErr w:type="spellEnd"/>
      <w:r w:rsidR="00B26D03">
        <w:rPr>
          <w:rFonts w:ascii="Times New Roman" w:eastAsia="Times New Roman" w:hAnsi="Times New Roman" w:cs="Times New Roman"/>
          <w:i/>
        </w:rPr>
        <w:t xml:space="preserve"> Medicine, 6</w:t>
      </w:r>
      <w:r w:rsidR="00B26D03">
        <w:rPr>
          <w:rFonts w:ascii="Times New Roman" w:eastAsia="Times New Roman" w:hAnsi="Times New Roman" w:cs="Times New Roman"/>
        </w:rPr>
        <w:t xml:space="preserve">(7), 1-7. </w:t>
      </w:r>
      <w:hyperlink r:id="rId16">
        <w:r w:rsidR="00B26D03">
          <w:rPr>
            <w:rFonts w:ascii="Times New Roman" w:eastAsia="Times New Roman" w:hAnsi="Times New Roman" w:cs="Times New Roman"/>
          </w:rPr>
          <w:t>https://doi.org/</w:t>
        </w:r>
      </w:hyperlink>
      <w:hyperlink r:id="rId17">
        <w:r w:rsidR="00B26D03">
          <w:rPr>
            <w:rFonts w:ascii="Times New Roman" w:eastAsia="Times New Roman" w:hAnsi="Times New Roman" w:cs="Times New Roman"/>
            <w:color w:val="202020"/>
            <w:highlight w:val="white"/>
          </w:rPr>
          <w:t>10.1371/journal.pmed.1000097</w:t>
        </w:r>
      </w:hyperlink>
    </w:p>
    <w:p w14:paraId="00000064" w14:textId="77777777" w:rsidR="00DF1525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</w:rPr>
      </w:pPr>
    </w:p>
    <w:p w14:paraId="00000065" w14:textId="0EA572CC" w:rsidR="00DF1525" w:rsidRPr="003F28A8" w:rsidRDefault="00B26D03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highlight w:val="white"/>
        </w:rPr>
        <w:t>Oliveira, A. S.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,  &amp;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Rossi, E. C. (2019). Envelhecimento Populacional, Segmento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mais Idoso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e as Atividades Básicas da Vida Diária como Indicador de Velhice Autônoma e Ativa. </w:t>
      </w:r>
      <w:proofErr w:type="spellStart"/>
      <w:r w:rsidRPr="003F28A8">
        <w:rPr>
          <w:rFonts w:ascii="Times New Roman" w:eastAsia="Times New Roman" w:hAnsi="Times New Roman" w:cs="Times New Roman"/>
          <w:i/>
          <w:highlight w:val="white"/>
          <w:lang w:val="en-US"/>
        </w:rPr>
        <w:t>Geosul</w:t>
      </w:r>
      <w:proofErr w:type="spellEnd"/>
      <w:r w:rsidRPr="003F28A8">
        <w:rPr>
          <w:rFonts w:ascii="Times New Roman" w:eastAsia="Times New Roman" w:hAnsi="Times New Roman" w:cs="Times New Roman"/>
          <w:i/>
          <w:highlight w:val="white"/>
          <w:lang w:val="en-US"/>
        </w:rPr>
        <w:t>, 34</w:t>
      </w:r>
      <w:r w:rsidRPr="003F28A8">
        <w:rPr>
          <w:rFonts w:ascii="Times New Roman" w:eastAsia="Times New Roman" w:hAnsi="Times New Roman" w:cs="Times New Roman"/>
          <w:highlight w:val="white"/>
          <w:lang w:val="en-US"/>
        </w:rPr>
        <w:t xml:space="preserve">(73), 358-377. </w:t>
      </w:r>
      <w:hyperlink r:id="rId18" w:history="1">
        <w:r w:rsidR="00550349" w:rsidRPr="00AC60D7">
          <w:rPr>
            <w:rStyle w:val="Hyperlink"/>
            <w:rFonts w:ascii="Times New Roman" w:eastAsia="Times New Roman" w:hAnsi="Times New Roman" w:cs="Times New Roman"/>
            <w:lang w:val="en-US"/>
          </w:rPr>
          <w:t>https://doi.org/</w:t>
        </w:r>
        <w:r w:rsidR="00550349" w:rsidRPr="00AC60D7">
          <w:rPr>
            <w:rStyle w:val="Hyperlink"/>
            <w:rFonts w:ascii="Times New Roman" w:eastAsia="Times New Roman" w:hAnsi="Times New Roman" w:cs="Times New Roman"/>
            <w:highlight w:val="white"/>
            <w:lang w:val="en-US"/>
          </w:rPr>
          <w:t>10.5007/1982-5153.2019v34n73p358</w:t>
        </w:r>
      </w:hyperlink>
    </w:p>
    <w:p w14:paraId="00000066" w14:textId="77777777" w:rsidR="00DF1525" w:rsidRPr="003F28A8" w:rsidRDefault="00B26D03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  <w:r w:rsidRPr="003F28A8">
        <w:rPr>
          <w:rFonts w:ascii="Times New Roman" w:eastAsia="Times New Roman" w:hAnsi="Times New Roman" w:cs="Times New Roman"/>
          <w:lang w:val="en-US"/>
        </w:rPr>
        <w:t> </w:t>
      </w:r>
    </w:p>
    <w:p w14:paraId="00000067" w14:textId="1926FF4C" w:rsidR="00DF1525" w:rsidRDefault="00B26D03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</w:rPr>
      </w:pPr>
      <w:proofErr w:type="spellStart"/>
      <w:r w:rsidRPr="003F28A8">
        <w:rPr>
          <w:rFonts w:ascii="Times New Roman" w:eastAsia="Times New Roman" w:hAnsi="Times New Roman" w:cs="Times New Roman"/>
          <w:lang w:val="en-US"/>
        </w:rPr>
        <w:lastRenderedPageBreak/>
        <w:t>Organização</w:t>
      </w:r>
      <w:proofErr w:type="spellEnd"/>
      <w:r w:rsidRPr="003F28A8">
        <w:rPr>
          <w:rFonts w:ascii="Times New Roman" w:eastAsia="Times New Roman" w:hAnsi="Times New Roman" w:cs="Times New Roman"/>
          <w:lang w:val="en-US"/>
        </w:rPr>
        <w:t xml:space="preserve"> Mundial de Saúde. (2017). </w:t>
      </w:r>
      <w:r w:rsidRPr="003F28A8">
        <w:rPr>
          <w:rFonts w:ascii="Times New Roman" w:eastAsia="Times New Roman" w:hAnsi="Times New Roman" w:cs="Times New Roman"/>
          <w:i/>
          <w:lang w:val="en-US"/>
        </w:rPr>
        <w:t xml:space="preserve">Global action plan on the public health response to dementia, 2017-2025 </w:t>
      </w:r>
      <w:r w:rsidRPr="003F28A8">
        <w:rPr>
          <w:rFonts w:ascii="Times New Roman" w:eastAsia="Times New Roman" w:hAnsi="Times New Roman" w:cs="Times New Roman"/>
          <w:lang w:val="en-US"/>
        </w:rPr>
        <w:t xml:space="preserve">(1. </w:t>
      </w:r>
      <w:r w:rsidR="00550349" w:rsidRPr="00112277">
        <w:rPr>
          <w:rFonts w:ascii="Times New Roman" w:eastAsia="Times New Roman" w:hAnsi="Times New Roman" w:cs="Times New Roman"/>
        </w:rPr>
        <w:t>E</w:t>
      </w:r>
      <w:r w:rsidRPr="00112277">
        <w:rPr>
          <w:rFonts w:ascii="Times New Roman" w:eastAsia="Times New Roman" w:hAnsi="Times New Roman" w:cs="Times New Roman"/>
        </w:rPr>
        <w:t xml:space="preserve">d.). </w:t>
      </w:r>
      <w:r>
        <w:rPr>
          <w:rFonts w:ascii="Times New Roman" w:eastAsia="Times New Roman" w:hAnsi="Times New Roman" w:cs="Times New Roman"/>
        </w:rPr>
        <w:t xml:space="preserve">WHO </w:t>
      </w:r>
      <w:proofErr w:type="spellStart"/>
      <w:r>
        <w:rPr>
          <w:rFonts w:ascii="Times New Roman" w:eastAsia="Times New Roman" w:hAnsi="Times New Roman" w:cs="Times New Roman"/>
        </w:rPr>
        <w:t>Document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Production</w:t>
      </w:r>
      <w:proofErr w:type="spellEnd"/>
      <w:r>
        <w:rPr>
          <w:rFonts w:ascii="Times New Roman" w:eastAsia="Times New Roman" w:hAnsi="Times New Roman" w:cs="Times New Roman"/>
        </w:rPr>
        <w:t xml:space="preserve"> Services.</w:t>
      </w:r>
    </w:p>
    <w:p w14:paraId="00000068" w14:textId="77777777" w:rsidR="00DF1525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</w:rPr>
      </w:pPr>
    </w:p>
    <w:p w14:paraId="00000069" w14:textId="51AB6932" w:rsidR="00DF1525" w:rsidRDefault="00940A98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</w:rPr>
      </w:pPr>
      <w:sdt>
        <w:sdtPr>
          <w:tag w:val="goog_rdk_0"/>
          <w:id w:val="-1631163760"/>
        </w:sdtPr>
        <w:sdtEndPr/>
        <w:sdtContent/>
      </w:sdt>
      <w:r w:rsidR="00B26D03">
        <w:rPr>
          <w:rFonts w:ascii="Times New Roman" w:eastAsia="Times New Roman" w:hAnsi="Times New Roman" w:cs="Times New Roman"/>
        </w:rPr>
        <w:t xml:space="preserve">Organização Mundial de Saúde. (2005). </w:t>
      </w:r>
      <w:r w:rsidR="00B26D03">
        <w:rPr>
          <w:rFonts w:ascii="Times New Roman" w:eastAsia="Times New Roman" w:hAnsi="Times New Roman" w:cs="Times New Roman"/>
          <w:i/>
        </w:rPr>
        <w:t xml:space="preserve">Envelhecimento Ativo: uma política de saúde </w:t>
      </w:r>
      <w:r w:rsidR="00B26D03">
        <w:rPr>
          <w:rFonts w:ascii="Times New Roman" w:eastAsia="Times New Roman" w:hAnsi="Times New Roman" w:cs="Times New Roman"/>
        </w:rPr>
        <w:t xml:space="preserve">(1. </w:t>
      </w:r>
      <w:r w:rsidR="00550349">
        <w:rPr>
          <w:rFonts w:ascii="Times New Roman" w:eastAsia="Times New Roman" w:hAnsi="Times New Roman" w:cs="Times New Roman"/>
        </w:rPr>
        <w:t>E</w:t>
      </w:r>
      <w:r w:rsidR="00B26D03">
        <w:rPr>
          <w:rFonts w:ascii="Times New Roman" w:eastAsia="Times New Roman" w:hAnsi="Times New Roman" w:cs="Times New Roman"/>
        </w:rPr>
        <w:t>d.)</w:t>
      </w:r>
      <w:sdt>
        <w:sdtPr>
          <w:tag w:val="goog_rdk_1"/>
          <w:id w:val="-1266230526"/>
        </w:sdtPr>
        <w:sdtEndPr/>
        <w:sdtContent/>
      </w:sdt>
      <w:r w:rsidR="00B26D03">
        <w:rPr>
          <w:rFonts w:ascii="Times New Roman" w:eastAsia="Times New Roman" w:hAnsi="Times New Roman" w:cs="Times New Roman"/>
        </w:rPr>
        <w:t xml:space="preserve">. Organização Pan-Americana da Saúde. </w:t>
      </w:r>
    </w:p>
    <w:p w14:paraId="0000006A" w14:textId="77777777" w:rsidR="00DF1525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</w:rPr>
      </w:pPr>
    </w:p>
    <w:p w14:paraId="0000006B" w14:textId="0EE5D5E5" w:rsidR="00DF1525" w:rsidRPr="003F28A8" w:rsidRDefault="00B26D03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</w:rPr>
        <w:t>Pallavicini</w:t>
      </w:r>
      <w:proofErr w:type="spellEnd"/>
      <w:r>
        <w:rPr>
          <w:rFonts w:ascii="Times New Roman" w:eastAsia="Times New Roman" w:hAnsi="Times New Roman" w:cs="Times New Roman"/>
        </w:rPr>
        <w:t xml:space="preserve">, F., Ferrari, A., &amp; Mantovani, F. (2018). </w:t>
      </w:r>
      <w:r w:rsidRPr="003F28A8">
        <w:rPr>
          <w:rFonts w:ascii="Times New Roman" w:eastAsia="Times New Roman" w:hAnsi="Times New Roman" w:cs="Times New Roman"/>
          <w:lang w:val="en-US"/>
        </w:rPr>
        <w:t xml:space="preserve">Video games for well-being: A systematic review on the application of computer games for cognitive and emotional training in the adult population. </w:t>
      </w:r>
      <w:r w:rsidRPr="003F28A8">
        <w:rPr>
          <w:rFonts w:ascii="Times New Roman" w:eastAsia="Times New Roman" w:hAnsi="Times New Roman" w:cs="Times New Roman"/>
          <w:i/>
          <w:lang w:val="en-US"/>
        </w:rPr>
        <w:t>Frontiers in Psychology, 9</w:t>
      </w:r>
      <w:r w:rsidRPr="003F28A8">
        <w:rPr>
          <w:rFonts w:ascii="Times New Roman" w:eastAsia="Times New Roman" w:hAnsi="Times New Roman" w:cs="Times New Roman"/>
          <w:lang w:val="en-US"/>
        </w:rPr>
        <w:t xml:space="preserve">, 2127-2127. </w:t>
      </w:r>
      <w:r w:rsidRPr="003F28A8">
        <w:rPr>
          <w:rFonts w:ascii="Times New Roman" w:eastAsia="Times New Roman" w:hAnsi="Times New Roman" w:cs="Times New Roman"/>
          <w:highlight w:val="white"/>
          <w:lang w:val="en-US"/>
        </w:rPr>
        <w:t xml:space="preserve"> </w:t>
      </w:r>
      <w:hyperlink r:id="rId19" w:history="1">
        <w:r w:rsidR="00550349" w:rsidRPr="00AC60D7">
          <w:rPr>
            <w:rStyle w:val="Hyperlink"/>
            <w:rFonts w:ascii="Times New Roman" w:eastAsia="Times New Roman" w:hAnsi="Times New Roman" w:cs="Times New Roman"/>
            <w:lang w:val="en-US"/>
          </w:rPr>
          <w:t>https://doi.org/10.3389/fpsyg.2018.02127</w:t>
        </w:r>
      </w:hyperlink>
    </w:p>
    <w:p w14:paraId="0000006C" w14:textId="77777777" w:rsidR="00DF1525" w:rsidRPr="003F28A8" w:rsidRDefault="00B26D03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  <w:r w:rsidRPr="003F28A8">
        <w:rPr>
          <w:rFonts w:ascii="Times New Roman" w:eastAsia="Times New Roman" w:hAnsi="Times New Roman" w:cs="Times New Roman"/>
          <w:lang w:val="en-US"/>
        </w:rPr>
        <w:t> </w:t>
      </w:r>
    </w:p>
    <w:p w14:paraId="0000006D" w14:textId="60F5C0F5" w:rsidR="00DF1525" w:rsidRDefault="00B26D03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</w:rPr>
      </w:pPr>
      <w:r w:rsidRPr="003F28A8">
        <w:rPr>
          <w:rFonts w:ascii="Times New Roman" w:eastAsia="Times New Roman" w:hAnsi="Times New Roman" w:cs="Times New Roman"/>
          <w:lang w:val="en-US"/>
        </w:rPr>
        <w:t>Perrot, A., Maillot, P., &amp; Hartley, A. (2019). Cognitive Training Game Versus Action Videogame: Effects on Cognitive Functions in Older Adults.</w:t>
      </w:r>
      <w:r w:rsidRPr="003F28A8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Games for Health </w:t>
      </w:r>
      <w:proofErr w:type="spellStart"/>
      <w:r>
        <w:rPr>
          <w:rFonts w:ascii="Times New Roman" w:eastAsia="Times New Roman" w:hAnsi="Times New Roman" w:cs="Times New Roman"/>
          <w:i/>
        </w:rPr>
        <w:t>Journal</w:t>
      </w:r>
      <w:proofErr w:type="spellEnd"/>
      <w:r>
        <w:rPr>
          <w:rFonts w:ascii="Times New Roman" w:eastAsia="Times New Roman" w:hAnsi="Times New Roman" w:cs="Times New Roman"/>
          <w:i/>
        </w:rPr>
        <w:t>, 8</w:t>
      </w:r>
      <w:r>
        <w:rPr>
          <w:rFonts w:ascii="Times New Roman" w:eastAsia="Times New Roman" w:hAnsi="Times New Roman" w:cs="Times New Roman"/>
        </w:rPr>
        <w:t xml:space="preserve">(1), 1-6. </w:t>
      </w:r>
      <w:hyperlink r:id="rId20" w:history="1">
        <w:r w:rsidR="00550349" w:rsidRPr="00AC60D7">
          <w:rPr>
            <w:rStyle w:val="Hyperlink"/>
            <w:rFonts w:ascii="Times New Roman" w:eastAsia="Times New Roman" w:hAnsi="Times New Roman" w:cs="Times New Roman"/>
          </w:rPr>
          <w:t>https://doi.org/10.1089/g4h.2018.0010</w:t>
        </w:r>
      </w:hyperlink>
    </w:p>
    <w:p w14:paraId="0000006E" w14:textId="77777777" w:rsidR="00DF1525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</w:rPr>
      </w:pPr>
    </w:p>
    <w:p w14:paraId="0000006F" w14:textId="77777777" w:rsidR="00DF1525" w:rsidRPr="003F28A8" w:rsidRDefault="00B26D03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</w:rPr>
        <w:t>Pessini</w:t>
      </w:r>
      <w:proofErr w:type="spellEnd"/>
      <w:r>
        <w:rPr>
          <w:rFonts w:ascii="Times New Roman" w:eastAsia="Times New Roman" w:hAnsi="Times New Roman" w:cs="Times New Roman"/>
        </w:rPr>
        <w:t xml:space="preserve">, R, A., Reis, R, M., César, H, V., &amp; </w:t>
      </w:r>
      <w:proofErr w:type="spellStart"/>
      <w:r>
        <w:rPr>
          <w:rFonts w:ascii="Times New Roman" w:eastAsia="Times New Roman" w:hAnsi="Times New Roman" w:cs="Times New Roman"/>
        </w:rPr>
        <w:t>Gamez</w:t>
      </w:r>
      <w:proofErr w:type="spellEnd"/>
      <w:r>
        <w:rPr>
          <w:rFonts w:ascii="Times New Roman" w:eastAsia="Times New Roman" w:hAnsi="Times New Roman" w:cs="Times New Roman"/>
        </w:rPr>
        <w:t>, L. (2018). Análise da plasticidade neuronal com o uso de jogos eletrônicos.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3F28A8">
        <w:rPr>
          <w:rFonts w:ascii="Times New Roman" w:eastAsia="Times New Roman" w:hAnsi="Times New Roman" w:cs="Times New Roman"/>
          <w:i/>
          <w:lang w:val="en-US"/>
        </w:rPr>
        <w:t>Journal of Health Informatics, 10</w:t>
      </w:r>
      <w:r w:rsidRPr="003F28A8">
        <w:rPr>
          <w:rFonts w:ascii="Times New Roman" w:eastAsia="Times New Roman" w:hAnsi="Times New Roman" w:cs="Times New Roman"/>
          <w:lang w:val="en-US"/>
        </w:rPr>
        <w:t>(1), 25-29. </w:t>
      </w:r>
      <w:hyperlink r:id="rId21">
        <w:r w:rsidRPr="003F28A8">
          <w:rPr>
            <w:rFonts w:ascii="Times New Roman" w:eastAsia="Times New Roman" w:hAnsi="Times New Roman" w:cs="Times New Roman"/>
            <w:lang w:val="en-US"/>
          </w:rPr>
          <w:t>http://www.jhi-sbis.saude.ws/ojs-jhi/index.php/jhi-sbis/article/view/539</w:t>
        </w:r>
      </w:hyperlink>
    </w:p>
    <w:p w14:paraId="00000070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71" w14:textId="296D072F" w:rsidR="00DF1525" w:rsidRPr="003F28A8" w:rsidRDefault="00B26D03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  <w:lang w:val="en-US"/>
        </w:rPr>
      </w:pPr>
      <w:r w:rsidRPr="003F28A8">
        <w:rPr>
          <w:rFonts w:ascii="Times New Roman" w:eastAsia="Times New Roman" w:hAnsi="Times New Roman" w:cs="Times New Roman"/>
          <w:color w:val="212121"/>
          <w:highlight w:val="white"/>
          <w:lang w:val="en-US"/>
        </w:rPr>
        <w:t>Ray, N. R., O</w:t>
      </w:r>
      <w:r w:rsidR="00550349">
        <w:rPr>
          <w:rFonts w:ascii="Times New Roman" w:eastAsia="Times New Roman" w:hAnsi="Times New Roman" w:cs="Times New Roman"/>
          <w:color w:val="212121"/>
          <w:highlight w:val="white"/>
          <w:lang w:val="en-US"/>
        </w:rPr>
        <w:t>’</w:t>
      </w:r>
      <w:r w:rsidRPr="003F28A8">
        <w:rPr>
          <w:rFonts w:ascii="Times New Roman" w:eastAsia="Times New Roman" w:hAnsi="Times New Roman" w:cs="Times New Roman"/>
          <w:color w:val="212121"/>
          <w:highlight w:val="white"/>
          <w:lang w:val="en-US"/>
        </w:rPr>
        <w:t xml:space="preserve">Connell, M. A., </w:t>
      </w:r>
      <w:proofErr w:type="spellStart"/>
      <w:r w:rsidRPr="003F28A8">
        <w:rPr>
          <w:rFonts w:ascii="Times New Roman" w:eastAsia="Times New Roman" w:hAnsi="Times New Roman" w:cs="Times New Roman"/>
          <w:color w:val="212121"/>
          <w:highlight w:val="white"/>
          <w:lang w:val="en-US"/>
        </w:rPr>
        <w:t>Nashiro</w:t>
      </w:r>
      <w:proofErr w:type="spellEnd"/>
      <w:r w:rsidRPr="003F28A8">
        <w:rPr>
          <w:rFonts w:ascii="Times New Roman" w:eastAsia="Times New Roman" w:hAnsi="Times New Roman" w:cs="Times New Roman"/>
          <w:color w:val="212121"/>
          <w:highlight w:val="white"/>
          <w:lang w:val="en-US"/>
        </w:rPr>
        <w:t xml:space="preserve">, K., Smith, E. T., Qin, S., &amp; </w:t>
      </w:r>
      <w:proofErr w:type="spellStart"/>
      <w:r w:rsidRPr="003F28A8">
        <w:rPr>
          <w:rFonts w:ascii="Times New Roman" w:eastAsia="Times New Roman" w:hAnsi="Times New Roman" w:cs="Times New Roman"/>
          <w:color w:val="212121"/>
          <w:highlight w:val="white"/>
          <w:lang w:val="en-US"/>
        </w:rPr>
        <w:t>Basak</w:t>
      </w:r>
      <w:proofErr w:type="spellEnd"/>
      <w:r w:rsidRPr="003F28A8">
        <w:rPr>
          <w:rFonts w:ascii="Times New Roman" w:eastAsia="Times New Roman" w:hAnsi="Times New Roman" w:cs="Times New Roman"/>
          <w:color w:val="212121"/>
          <w:highlight w:val="white"/>
          <w:lang w:val="en-US"/>
        </w:rPr>
        <w:t xml:space="preserve">, C. (2017). Evaluating the relationship between white matter integrity, cognition, and varieties of video game learning. </w:t>
      </w:r>
      <w:r w:rsidRPr="003F28A8">
        <w:rPr>
          <w:rFonts w:ascii="Times New Roman" w:eastAsia="Times New Roman" w:hAnsi="Times New Roman" w:cs="Times New Roman"/>
          <w:i/>
          <w:color w:val="212121"/>
          <w:highlight w:val="white"/>
          <w:lang w:val="en-US"/>
        </w:rPr>
        <w:t>Restorative Neurology and Neuroscience, 35</w:t>
      </w:r>
      <w:r w:rsidRPr="003F28A8">
        <w:rPr>
          <w:rFonts w:ascii="Times New Roman" w:eastAsia="Times New Roman" w:hAnsi="Times New Roman" w:cs="Times New Roman"/>
          <w:color w:val="212121"/>
          <w:highlight w:val="white"/>
          <w:lang w:val="en-US"/>
        </w:rPr>
        <w:t xml:space="preserve">(5), 437-456. </w:t>
      </w:r>
      <w:hyperlink r:id="rId22">
        <w:r w:rsidRPr="003F28A8">
          <w:rPr>
            <w:rFonts w:ascii="Times New Roman" w:eastAsia="Times New Roman" w:hAnsi="Times New Roman" w:cs="Times New Roman"/>
            <w:lang w:val="en-US"/>
          </w:rPr>
          <w:t>https://doi.org/</w:t>
        </w:r>
      </w:hyperlink>
      <w:r w:rsidRPr="003F28A8">
        <w:rPr>
          <w:rFonts w:ascii="Times New Roman" w:eastAsia="Times New Roman" w:hAnsi="Times New Roman" w:cs="Times New Roman"/>
          <w:color w:val="212121"/>
          <w:highlight w:val="white"/>
          <w:lang w:val="en-US"/>
        </w:rPr>
        <w:t xml:space="preserve">10.3233/RNN-160716. </w:t>
      </w:r>
    </w:p>
    <w:p w14:paraId="00000072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73" w14:textId="08008220" w:rsidR="00DF1525" w:rsidRPr="003F28A8" w:rsidRDefault="00B26D03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3F28A8">
        <w:rPr>
          <w:rFonts w:ascii="Times New Roman" w:eastAsia="Times New Roman" w:hAnsi="Times New Roman" w:cs="Times New Roman"/>
          <w:lang w:val="en-US"/>
        </w:rPr>
        <w:t>Talaei-Khoei</w:t>
      </w:r>
      <w:proofErr w:type="spellEnd"/>
      <w:r w:rsidRPr="003F28A8">
        <w:rPr>
          <w:rFonts w:ascii="Times New Roman" w:eastAsia="Times New Roman" w:hAnsi="Times New Roman" w:cs="Times New Roman"/>
          <w:lang w:val="en-US"/>
        </w:rPr>
        <w:t xml:space="preserve">, A., &amp; Daniel, J. (2018). How younger elderly realize usefulness of cognitive training video games to maintain their independent living. International. </w:t>
      </w:r>
      <w:r w:rsidRPr="003F28A8">
        <w:rPr>
          <w:rFonts w:ascii="Times New Roman" w:eastAsia="Times New Roman" w:hAnsi="Times New Roman" w:cs="Times New Roman"/>
          <w:i/>
          <w:lang w:val="en-US"/>
        </w:rPr>
        <w:t>Journal of Information Management, 42</w:t>
      </w:r>
      <w:r w:rsidRPr="003F28A8">
        <w:rPr>
          <w:rFonts w:ascii="Times New Roman" w:eastAsia="Times New Roman" w:hAnsi="Times New Roman" w:cs="Times New Roman"/>
          <w:lang w:val="en-US"/>
        </w:rPr>
        <w:t xml:space="preserve">, 1-12. </w:t>
      </w:r>
      <w:hyperlink r:id="rId23" w:history="1">
        <w:r w:rsidR="00550349" w:rsidRPr="00AC60D7">
          <w:rPr>
            <w:rStyle w:val="Hyperlink"/>
            <w:rFonts w:ascii="Times New Roman" w:eastAsia="Times New Roman" w:hAnsi="Times New Roman" w:cs="Times New Roman"/>
            <w:lang w:val="en-US"/>
          </w:rPr>
          <w:t>https://doi.org/10.1016/j.ijinfomgt.2018.05.001</w:t>
        </w:r>
      </w:hyperlink>
    </w:p>
    <w:p w14:paraId="00000074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75" w14:textId="7CE31D05" w:rsidR="00DF1525" w:rsidRPr="003F28A8" w:rsidRDefault="00B26D03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  <w:lang w:val="en-US"/>
        </w:rPr>
      </w:pPr>
      <w:r w:rsidRPr="003F28A8">
        <w:rPr>
          <w:rFonts w:ascii="Times New Roman" w:eastAsia="Times New Roman" w:hAnsi="Times New Roman" w:cs="Times New Roman"/>
          <w:lang w:val="en-US"/>
        </w:rPr>
        <w:t xml:space="preserve">West, R. K., Rabin, L. A., Silverman, J. M., </w:t>
      </w:r>
      <w:proofErr w:type="spellStart"/>
      <w:r w:rsidRPr="003F28A8">
        <w:rPr>
          <w:rFonts w:ascii="Times New Roman" w:eastAsia="Times New Roman" w:hAnsi="Times New Roman" w:cs="Times New Roman"/>
          <w:lang w:val="en-US"/>
        </w:rPr>
        <w:t>Moshier</w:t>
      </w:r>
      <w:proofErr w:type="spellEnd"/>
      <w:r w:rsidRPr="003F28A8">
        <w:rPr>
          <w:rFonts w:ascii="Times New Roman" w:eastAsia="Times New Roman" w:hAnsi="Times New Roman" w:cs="Times New Roman"/>
          <w:lang w:val="en-US"/>
        </w:rPr>
        <w:t xml:space="preserve">, E., Sano, M., &amp; </w:t>
      </w:r>
      <w:proofErr w:type="spellStart"/>
      <w:r w:rsidRPr="003F28A8">
        <w:rPr>
          <w:rFonts w:ascii="Times New Roman" w:eastAsia="Times New Roman" w:hAnsi="Times New Roman" w:cs="Times New Roman"/>
          <w:lang w:val="en-US"/>
        </w:rPr>
        <w:t>Beeri</w:t>
      </w:r>
      <w:proofErr w:type="spellEnd"/>
      <w:r w:rsidRPr="003F28A8">
        <w:rPr>
          <w:rFonts w:ascii="Times New Roman" w:eastAsia="Times New Roman" w:hAnsi="Times New Roman" w:cs="Times New Roman"/>
          <w:lang w:val="en-US"/>
        </w:rPr>
        <w:t xml:space="preserve">, M. S. (2019). Short-term computerized cognitive training does not improve cognition compared to an active control in non-demented adults aged 80 years and above. </w:t>
      </w:r>
      <w:r w:rsidRPr="003F28A8">
        <w:rPr>
          <w:rFonts w:ascii="Times New Roman" w:eastAsia="Times New Roman" w:hAnsi="Times New Roman" w:cs="Times New Roman"/>
          <w:i/>
          <w:lang w:val="en-US"/>
        </w:rPr>
        <w:t>International Psychogeriatrics, 32</w:t>
      </w:r>
      <w:r w:rsidRPr="003F28A8">
        <w:rPr>
          <w:rFonts w:ascii="Times New Roman" w:eastAsia="Times New Roman" w:hAnsi="Times New Roman" w:cs="Times New Roman"/>
          <w:lang w:val="en-US"/>
        </w:rPr>
        <w:t xml:space="preserve">(1), 1-9. </w:t>
      </w:r>
      <w:hyperlink r:id="rId24" w:history="1">
        <w:r w:rsidR="00550349" w:rsidRPr="00AC60D7">
          <w:rPr>
            <w:rStyle w:val="Hyperlink"/>
            <w:rFonts w:ascii="Times New Roman" w:eastAsia="Times New Roman" w:hAnsi="Times New Roman" w:cs="Times New Roman"/>
            <w:lang w:val="en-US"/>
          </w:rPr>
          <w:t>https://doi.org/10.1017/S1041610219000267</w:t>
        </w:r>
      </w:hyperlink>
    </w:p>
    <w:p w14:paraId="00000076" w14:textId="77777777" w:rsidR="00DF1525" w:rsidRPr="003F28A8" w:rsidRDefault="00DF1525" w:rsidP="000B2D41">
      <w:pPr>
        <w:shd w:val="clear" w:color="auto" w:fill="FFFFFF"/>
        <w:spacing w:line="305" w:lineRule="auto"/>
        <w:ind w:left="-283" w:right="-267"/>
        <w:jc w:val="both"/>
        <w:rPr>
          <w:rFonts w:ascii="Times New Roman" w:eastAsia="Times New Roman" w:hAnsi="Times New Roman" w:cs="Times New Roman"/>
          <w:lang w:val="en-US"/>
        </w:rPr>
      </w:pPr>
    </w:p>
    <w:p w14:paraId="00000092" w14:textId="3EA9BD8A" w:rsidR="00DF1525" w:rsidRPr="003F28A8" w:rsidRDefault="00B26D03" w:rsidP="000B2D41">
      <w:pPr>
        <w:shd w:val="clear" w:color="auto" w:fill="FFFFFF"/>
        <w:spacing w:line="305" w:lineRule="auto"/>
        <w:ind w:left="-284" w:right="-267" w:firstLine="284"/>
        <w:jc w:val="both"/>
        <w:rPr>
          <w:rFonts w:ascii="Times New Roman" w:eastAsia="Times New Roman" w:hAnsi="Times New Roman" w:cs="Times New Roman"/>
          <w:lang w:val="en-US"/>
        </w:rPr>
      </w:pPr>
      <w:r w:rsidRPr="003F28A8">
        <w:rPr>
          <w:rFonts w:ascii="Times New Roman" w:eastAsia="Times New Roman" w:hAnsi="Times New Roman" w:cs="Times New Roman"/>
          <w:lang w:val="en-US"/>
        </w:rPr>
        <w:t xml:space="preserve">Williams, K., &amp; Kemper, S. (2010). Exploring interventions to reduce cognitive decline in </w:t>
      </w:r>
      <w:proofErr w:type="spellStart"/>
      <w:r w:rsidR="00550349">
        <w:rPr>
          <w:rFonts w:ascii="Times New Roman" w:eastAsia="Times New Roman" w:hAnsi="Times New Roman" w:cs="Times New Roman"/>
          <w:lang w:val="en-US"/>
        </w:rPr>
        <w:t>m</w:t>
      </w:r>
      <w:r w:rsidRPr="003F28A8">
        <w:rPr>
          <w:rFonts w:ascii="Times New Roman" w:eastAsia="Times New Roman" w:hAnsi="Times New Roman" w:cs="Times New Roman"/>
          <w:lang w:val="en-US"/>
        </w:rPr>
        <w:t>aging</w:t>
      </w:r>
      <w:proofErr w:type="spellEnd"/>
      <w:r w:rsidRPr="003F28A8">
        <w:rPr>
          <w:rFonts w:ascii="Times New Roman" w:eastAsia="Times New Roman" w:hAnsi="Times New Roman" w:cs="Times New Roman"/>
          <w:lang w:val="en-US"/>
        </w:rPr>
        <w:t xml:space="preserve">. </w:t>
      </w:r>
      <w:r w:rsidRPr="003F28A8">
        <w:rPr>
          <w:rFonts w:ascii="Times New Roman" w:eastAsia="Times New Roman" w:hAnsi="Times New Roman" w:cs="Times New Roman"/>
          <w:i/>
          <w:lang w:val="en-US"/>
        </w:rPr>
        <w:t>Journal of Psychosocial Nursing and Mental Health Services, 48</w:t>
      </w:r>
      <w:r w:rsidRPr="003F28A8">
        <w:rPr>
          <w:rFonts w:ascii="Times New Roman" w:eastAsia="Times New Roman" w:hAnsi="Times New Roman" w:cs="Times New Roman"/>
          <w:lang w:val="en-US"/>
        </w:rPr>
        <w:t xml:space="preserve">(5), 42-51. </w:t>
      </w:r>
      <w:hyperlink r:id="rId25">
        <w:r w:rsidRPr="003F28A8">
          <w:rPr>
            <w:rFonts w:ascii="Times New Roman" w:eastAsia="Times New Roman" w:hAnsi="Times New Roman" w:cs="Times New Roman"/>
            <w:lang w:val="en-US"/>
          </w:rPr>
          <w:t>https://doi.org/</w:t>
        </w:r>
      </w:hyperlink>
      <w:r w:rsidRPr="003F28A8">
        <w:rPr>
          <w:rFonts w:ascii="Times New Roman" w:eastAsia="Times New Roman" w:hAnsi="Times New Roman" w:cs="Times New Roman"/>
          <w:lang w:val="en-US"/>
        </w:rPr>
        <w:t>10.3928/02793695-20100331-03</w:t>
      </w:r>
    </w:p>
    <w:p w14:paraId="000000B9" w14:textId="2337FD3B" w:rsidR="00DF1525" w:rsidRDefault="000B2D41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noProof/>
        </w:rPr>
        <w:lastRenderedPageBreak/>
        <w:drawing>
          <wp:inline distT="0" distB="0" distL="0" distR="0" wp14:anchorId="35FA86A4" wp14:editId="3922012C">
            <wp:extent cx="5396230" cy="7268210"/>
            <wp:effectExtent l="0" t="0" r="127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aptura de Tela 2021-08-31 às 14.18.19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26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BA" w14:textId="77777777" w:rsidR="00DF1525" w:rsidRDefault="00DF1525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000000BB" w14:textId="77777777" w:rsidR="00DF1525" w:rsidRDefault="00DF1525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000000BC" w14:textId="77777777" w:rsidR="00DF1525" w:rsidRDefault="00DF1525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000000BD" w14:textId="77777777" w:rsidR="00DF1525" w:rsidRDefault="00DF1525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3746D9EE" w14:textId="77777777" w:rsidR="002017B3" w:rsidRDefault="002017B3" w:rsidP="000B2D41">
      <w:pPr>
        <w:spacing w:line="480" w:lineRule="auto"/>
        <w:ind w:right="-267"/>
        <w:jc w:val="both"/>
        <w:rPr>
          <w:rFonts w:ascii="Times" w:eastAsia="Times" w:hAnsi="Times" w:cs="Times"/>
          <w:b/>
        </w:rPr>
        <w:sectPr w:rsidR="002017B3" w:rsidSect="00D84717">
          <w:pgSz w:w="11900" w:h="16840"/>
          <w:pgMar w:top="1417" w:right="1701" w:bottom="1417" w:left="1701" w:header="708" w:footer="708" w:gutter="0"/>
          <w:cols w:space="720"/>
          <w:docGrid w:linePitch="326"/>
        </w:sectPr>
      </w:pPr>
    </w:p>
    <w:tbl>
      <w:tblPr>
        <w:tblStyle w:val="a3"/>
        <w:tblW w:w="134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1843"/>
        <w:gridCol w:w="425"/>
        <w:gridCol w:w="851"/>
        <w:gridCol w:w="1843"/>
        <w:gridCol w:w="425"/>
        <w:gridCol w:w="1984"/>
        <w:gridCol w:w="2694"/>
        <w:gridCol w:w="2268"/>
      </w:tblGrid>
      <w:tr w:rsidR="00DF1525" w14:paraId="3ACBFCE1" w14:textId="77777777" w:rsidTr="000B2D41">
        <w:trPr>
          <w:trHeight w:val="2105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4C7D" w14:textId="134F5E3D" w:rsidR="000B2D41" w:rsidRDefault="009A3566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6DF0E7E" wp14:editId="1A356444">
                  <wp:simplePos x="0" y="0"/>
                  <wp:positionH relativeFrom="column">
                    <wp:posOffset>-28146</wp:posOffset>
                  </wp:positionH>
                  <wp:positionV relativeFrom="paragraph">
                    <wp:posOffset>5080</wp:posOffset>
                  </wp:positionV>
                  <wp:extent cx="9011708" cy="5276335"/>
                  <wp:effectExtent l="0" t="0" r="5715" b="0"/>
                  <wp:wrapNone/>
                  <wp:docPr id="7" name="Imagem 7" descr="Tabel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tura de Tela 2021-08-31 às 21.47.29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1708" cy="527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B8862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25F0BA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4CCF6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EF741F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44D1D3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4BC0F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C254E3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5CD17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9429D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AB3B6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9E8B82" w14:textId="1477D153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C36D2D" w14:textId="6F0CFD6F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C6B401" w14:textId="3931AF53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05445A9" w14:textId="5A20DB95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417B03" w14:textId="0A81F793" w:rsidR="000B2D41" w:rsidRDefault="009A3566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37036864" wp14:editId="2FC40DC3">
                  <wp:simplePos x="0" y="0"/>
                  <wp:positionH relativeFrom="column">
                    <wp:posOffset>5903</wp:posOffset>
                  </wp:positionH>
                  <wp:positionV relativeFrom="paragraph">
                    <wp:posOffset>669</wp:posOffset>
                  </wp:positionV>
                  <wp:extent cx="8858887" cy="5090984"/>
                  <wp:effectExtent l="0" t="0" r="5715" b="1905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ptura de Tela 2021-08-31 às 21.52.03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3523" cy="5122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F59A94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DCE3134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1656C5D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D977FD4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F1F852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1C352D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FB524E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C39FE4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1F2AA8B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69D70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2E5DD3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0000F4" w14:textId="1A6E5AA0" w:rsidR="00DF1525" w:rsidRDefault="00DF1525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900EF11" w14:textId="2DDA673D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7FE815" w14:textId="01DAFD9A" w:rsidR="000B2D41" w:rsidRPr="00DD11A5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0000F5" w14:textId="77777777" w:rsidR="00DF1525" w:rsidRPr="00DD11A5" w:rsidRDefault="00B26D03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11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00000F6" w14:textId="77777777" w:rsidR="00DF1525" w:rsidRPr="00DD11A5" w:rsidRDefault="00B26D03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11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89F7" w14:textId="504171FB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ABA5B7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0877C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C7A09A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46AB872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DF73A2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FB802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94EE8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172FC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B7AAA50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FC8A7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A629728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110586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F12B74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892425E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8A62DD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8E7E2F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72A01A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80510D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46BE81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14784A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917C8F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F677ED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5287E4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6107C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134E98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EAAE2E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0000F7" w14:textId="0E55171F" w:rsidR="00DF1525" w:rsidRPr="00DD11A5" w:rsidRDefault="00DF1525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220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452BCE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E818BAA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CB5AD3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8C5AD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DB3568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3D23C3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5D7E9E0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5BD44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6D1698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246DC9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F2BBFF3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4D37E0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1F837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4BDA34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C0C1C3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DE078A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F70B7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6DCB37B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5E08FED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4B43BA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5A1B6E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80D73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E94882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8DA5A0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635F90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02519A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E6A61F7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0000F8" w14:textId="44CA1F24" w:rsidR="00DF1525" w:rsidRPr="00DD11A5" w:rsidRDefault="00DF1525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8778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313AD8B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EE1EB8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50F28D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CD8F463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8326242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D8B96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BA9C2CA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6331D4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FA4F5E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7BDF27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CCE38A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3924E27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840A2DA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32D3FC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59E38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527DEE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73BFB9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8C340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61348E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44AD9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9E3E447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BDCE3CA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57145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F8257E0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00CDB0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5A0798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055B18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0000F9" w14:textId="4055BF90" w:rsidR="00DF1525" w:rsidRPr="00DD11A5" w:rsidRDefault="00DF1525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B79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2CBE73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38F4D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E6C38DB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362266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A6EF853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AFD992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75E0008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D40D5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BFB12ED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AED800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A84D03A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5D75CFE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1DE674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A1FA94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4F3FAF6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05AF3D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1C13FF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7777384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3D0712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8FFB09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472B691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9801B0E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0A0F1C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A337C74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BF0ADF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0000FA" w14:textId="55C24F70" w:rsidR="00DF1525" w:rsidRPr="00DD11A5" w:rsidRDefault="00DF1525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C552" w14:textId="5BB566BF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B2E002D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54DCD38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D6D827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74828A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1DDE81C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AC6518F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7A0A99C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9ACA8C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27C95C5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086F7C5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9166EA9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9EF9E61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B1EAA1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219A88C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EDFB7E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5FE8417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A837C8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93D24A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CAB7E4" w14:textId="77777777" w:rsidR="000B2D41" w:rsidRDefault="000B2D41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0000FC" w14:textId="16F8FBD4" w:rsidR="00DF1525" w:rsidRPr="00DD11A5" w:rsidRDefault="00DF1525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CD788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F06B87C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402D52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3DEB7A4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F9BACD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5D157C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C303C4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61C6DA3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6C6E61F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930BECD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B8DB3E9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DA9D4D9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1A46D4C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FB4B2B1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E0BD4D1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995CAA8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DC61F8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DE91436" w14:textId="4EAAE218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30C6C48" w14:textId="1F0F6398" w:rsidR="000B2D41" w:rsidRDefault="000B2D41" w:rsidP="000B2D4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69E8335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A59ED83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65A45AB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3BB2DD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DB1AB33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9501B3E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D9FBEE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349F3B8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E924914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DCA01F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B1B6B94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27F5BBD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300FB5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0150FEC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E36800F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6AACE8F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FFF7DBF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E8F2FD4" w14:textId="77777777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0000FD" w14:textId="0F6F0F79" w:rsidR="00DF1525" w:rsidRPr="00DD11A5" w:rsidRDefault="00DF1525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B2D41" w14:paraId="585E59C1" w14:textId="77777777" w:rsidTr="000B2D41">
        <w:trPr>
          <w:trHeight w:val="2105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6045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52CAF1CB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12E2B88B" w14:textId="04D3F782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74BB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E14E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5018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3FD2" w14:textId="77777777" w:rsidR="000B2D41" w:rsidRDefault="000B2D41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440ADE" w14:textId="77777777" w:rsidR="00550349" w:rsidRDefault="00550349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F70384" w14:textId="77777777" w:rsidR="00550349" w:rsidRDefault="00550349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B8DD50B" w14:textId="77777777" w:rsidR="00550349" w:rsidRDefault="00550349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BC4BE1" w14:textId="77777777" w:rsidR="00550349" w:rsidRDefault="00550349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EA9F0DD" w14:textId="77777777" w:rsidR="00550349" w:rsidRDefault="00550349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6C7C42" w14:textId="77777777" w:rsidR="00550349" w:rsidRDefault="00550349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8EABDEC" w14:textId="77777777" w:rsidR="00550349" w:rsidRDefault="00550349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2FD6BC9" w14:textId="76E7E28A" w:rsidR="00550349" w:rsidRDefault="00550349" w:rsidP="00DD11A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A0EF" w14:textId="68E1B5E0" w:rsidR="000B2D41" w:rsidRDefault="009A3566" w:rsidP="00DD11A5">
            <w:pPr>
              <w:spacing w:after="240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569ACBD3" wp14:editId="6CCE165A">
                  <wp:simplePos x="0" y="0"/>
                  <wp:positionH relativeFrom="column">
                    <wp:posOffset>-5326603</wp:posOffset>
                  </wp:positionH>
                  <wp:positionV relativeFrom="paragraph">
                    <wp:posOffset>-1560881</wp:posOffset>
                  </wp:positionV>
                  <wp:extent cx="8369927" cy="4955060"/>
                  <wp:effectExtent l="0" t="0" r="0" b="0"/>
                  <wp:wrapNone/>
                  <wp:docPr id="9" name="Imagem 9" descr="Interface gráfica do usuário, Texto, Aplicativ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Tela 2021-08-31 às 21.54.03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927" cy="495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E365" w14:textId="21710BD6" w:rsidR="000B2D41" w:rsidRDefault="000B2D41" w:rsidP="00DD11A5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A3566" w14:paraId="7A8C0572" w14:textId="77777777" w:rsidTr="000B2D41">
        <w:trPr>
          <w:gridAfter w:val="6"/>
          <w:wAfter w:w="10065" w:type="dxa"/>
          <w:trHeight w:val="2645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10057547" w:rsidR="009A3566" w:rsidRPr="00DD11A5" w:rsidRDefault="009A3566" w:rsidP="002D258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D648C6D" wp14:editId="79173E44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1270</wp:posOffset>
                  </wp:positionV>
                  <wp:extent cx="8847438" cy="4366268"/>
                  <wp:effectExtent l="0" t="0" r="5080" b="2540"/>
                  <wp:wrapNone/>
                  <wp:docPr id="10" name="Imagem 10" descr="Interface gráfica do usuário,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ptura de Tela 2021-08-31 às 21.55.49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7438" cy="4366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2" w14:textId="782073C0" w:rsidR="009A3566" w:rsidRPr="00DD11A5" w:rsidRDefault="009A3566" w:rsidP="002D2588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A3566" w14:paraId="68B9DA67" w14:textId="77777777" w:rsidTr="000B2D41">
        <w:trPr>
          <w:gridAfter w:val="3"/>
          <w:wAfter w:w="6946" w:type="dxa"/>
          <w:trHeight w:val="1565"/>
        </w:trPr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3" w14:textId="77777777" w:rsidR="009A3566" w:rsidRPr="002D2588" w:rsidRDefault="009A3566" w:rsidP="002D258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2588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4" w14:textId="77777777" w:rsidR="009A3566" w:rsidRPr="002D2588" w:rsidRDefault="009A3566" w:rsidP="002D258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D2588">
              <w:rPr>
                <w:rFonts w:ascii="Times New Roman" w:eastAsia="Times New Roman" w:hAnsi="Times New Roman" w:cs="Times New Roman"/>
                <w:b/>
                <w:bCs/>
              </w:rPr>
              <w:t>McCord</w:t>
            </w:r>
            <w:proofErr w:type="spellEnd"/>
            <w:r w:rsidRPr="002D2588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2D2588">
              <w:rPr>
                <w:rFonts w:ascii="Times New Roman" w:eastAsia="Times New Roman" w:hAnsi="Times New Roman" w:cs="Times New Roman"/>
                <w:b/>
                <w:bCs/>
              </w:rPr>
              <w:t>Cocks</w:t>
            </w:r>
            <w:proofErr w:type="spellEnd"/>
            <w:r w:rsidRPr="002D2588">
              <w:rPr>
                <w:rFonts w:ascii="Times New Roman" w:eastAsia="Times New Roman" w:hAnsi="Times New Roman" w:cs="Times New Roman"/>
                <w:b/>
                <w:bCs/>
              </w:rPr>
              <w:t xml:space="preserve">, Barreiros e </w:t>
            </w:r>
            <w:proofErr w:type="spellStart"/>
            <w:r w:rsidRPr="002D2588">
              <w:rPr>
                <w:rFonts w:ascii="Times New Roman" w:eastAsia="Times New Roman" w:hAnsi="Times New Roman" w:cs="Times New Roman"/>
                <w:b/>
                <w:bCs/>
              </w:rPr>
              <w:t>Bizo</w:t>
            </w:r>
            <w:proofErr w:type="spellEnd"/>
            <w:r w:rsidRPr="002D2588">
              <w:rPr>
                <w:rFonts w:ascii="Times New Roman" w:eastAsia="Times New Roman" w:hAnsi="Times New Roman" w:cs="Times New Roman"/>
                <w:b/>
                <w:bCs/>
              </w:rPr>
              <w:t xml:space="preserve"> (2020)</w:t>
            </w:r>
          </w:p>
        </w:tc>
        <w:tc>
          <w:tcPr>
            <w:tcW w:w="127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5" w14:textId="77777777" w:rsidR="009A3566" w:rsidRPr="002D2588" w:rsidRDefault="009A3566" w:rsidP="002D2588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2588">
              <w:rPr>
                <w:rFonts w:ascii="Times New Roman" w:eastAsia="Times New Roman" w:hAnsi="Times New Roman" w:cs="Times New Roman"/>
                <w:b/>
                <w:bCs/>
              </w:rPr>
              <w:t>Austrália</w:t>
            </w:r>
          </w:p>
        </w:tc>
        <w:tc>
          <w:tcPr>
            <w:tcW w:w="226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9" w14:textId="075E635B" w:rsidR="009A3566" w:rsidRPr="002D2588" w:rsidRDefault="009A3566" w:rsidP="002D2588">
            <w:pPr>
              <w:shd w:val="clear" w:color="auto" w:fill="FFFFFF"/>
              <w:spacing w:line="360" w:lineRule="auto"/>
              <w:ind w:left="-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11A5">
              <w:rPr>
                <w:rFonts w:ascii="Times New Roman" w:eastAsia="Times New Roman" w:hAnsi="Times New Roman" w:cs="Times New Roman"/>
                <w:b/>
                <w:bCs/>
              </w:rPr>
              <w:t xml:space="preserve">Possui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DD11A5">
              <w:rPr>
                <w:rFonts w:ascii="Times New Roman" w:eastAsia="Times New Roman" w:hAnsi="Times New Roman" w:cs="Times New Roman"/>
                <w:b/>
                <w:bCs/>
              </w:rPr>
              <w:t>ré</w:t>
            </w:r>
            <w:proofErr w:type="spellEnd"/>
            <w:r w:rsidRPr="00DD11A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Pr="00DD11A5">
              <w:rPr>
                <w:rFonts w:ascii="Times New Roman" w:eastAsia="Times New Roman" w:hAnsi="Times New Roman" w:cs="Times New Roman"/>
                <w:b/>
                <w:bCs/>
              </w:rPr>
              <w:t xml:space="preserve">ós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DD11A5">
              <w:rPr>
                <w:rFonts w:ascii="Times New Roman" w:eastAsia="Times New Roman" w:hAnsi="Times New Roman" w:cs="Times New Roman"/>
                <w:b/>
                <w:bCs/>
              </w:rPr>
              <w:t xml:space="preserve">este 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DD11A5">
              <w:rPr>
                <w:rFonts w:ascii="Times New Roman" w:eastAsia="Times New Roman" w:hAnsi="Times New Roman" w:cs="Times New Roman"/>
                <w:b/>
                <w:bCs/>
              </w:rPr>
              <w:t xml:space="preserve">ollow </w:t>
            </w:r>
            <w:proofErr w:type="spellStart"/>
            <w:r w:rsidRPr="00DD11A5">
              <w:rPr>
                <w:rFonts w:ascii="Times New Roman" w:eastAsia="Times New Roman" w:hAnsi="Times New Roman" w:cs="Times New Roman"/>
                <w:b/>
                <w:bCs/>
              </w:rPr>
              <w:t>up</w:t>
            </w:r>
            <w:proofErr w:type="spellEnd"/>
          </w:p>
        </w:tc>
      </w:tr>
    </w:tbl>
    <w:p w14:paraId="6F72BA35" w14:textId="77777777" w:rsidR="00DF1525" w:rsidRDefault="00DF1525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079E1490" w14:textId="77777777" w:rsidR="009A3566" w:rsidRDefault="009A3566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29413399" w14:textId="77777777" w:rsidR="009A3566" w:rsidRDefault="009A3566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5A30BA66" w14:textId="77777777" w:rsidR="009A3566" w:rsidRDefault="009A3566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3063AE3C" w14:textId="77777777" w:rsidR="009A3566" w:rsidRDefault="009A3566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65CE9336" w14:textId="77777777" w:rsidR="009A3566" w:rsidRDefault="009A3566" w:rsidP="009A3566">
      <w:pPr>
        <w:spacing w:line="480" w:lineRule="auto"/>
        <w:ind w:right="-267"/>
        <w:jc w:val="both"/>
        <w:rPr>
          <w:rFonts w:ascii="Times" w:eastAsia="Times" w:hAnsi="Times" w:cs="Times"/>
        </w:rPr>
      </w:pPr>
    </w:p>
    <w:p w14:paraId="7332C3AE" w14:textId="62D5B819" w:rsidR="009A3566" w:rsidRDefault="009A3566" w:rsidP="009A3566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noProof/>
        </w:rPr>
        <w:lastRenderedPageBreak/>
        <w:drawing>
          <wp:inline distT="0" distB="0" distL="0" distR="0" wp14:anchorId="24F76D57" wp14:editId="4B23CA91">
            <wp:extent cx="8813800" cy="5308600"/>
            <wp:effectExtent l="0" t="0" r="0" b="0"/>
            <wp:docPr id="11" name="Imagem 1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a de Tela 2021-08-31 às 21.57.33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5332F" w14:textId="77777777" w:rsidR="009A3566" w:rsidRDefault="009A3566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  <w:noProof/>
        </w:rPr>
        <w:lastRenderedPageBreak/>
        <w:drawing>
          <wp:inline distT="0" distB="0" distL="0" distR="0" wp14:anchorId="42B820ED" wp14:editId="599C664A">
            <wp:extent cx="8575675" cy="5396230"/>
            <wp:effectExtent l="0" t="0" r="0" b="1270"/>
            <wp:docPr id="12" name="Imagem 1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ptura de Tela 2021-08-31 às 21.58.24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675" cy="539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C14E1" w14:textId="77777777" w:rsidR="009A3566" w:rsidRDefault="009A3566">
      <w:pPr>
        <w:spacing w:line="480" w:lineRule="auto"/>
        <w:ind w:left="-283" w:right="-267"/>
        <w:jc w:val="both"/>
        <w:rPr>
          <w:rFonts w:ascii="Times" w:eastAsia="Times" w:hAnsi="Times" w:cs="Times"/>
        </w:rPr>
      </w:pPr>
    </w:p>
    <w:p w14:paraId="00000122" w14:textId="575B77B0" w:rsidR="009A3566" w:rsidRDefault="009A3566">
      <w:pPr>
        <w:spacing w:line="480" w:lineRule="auto"/>
        <w:ind w:left="-283" w:right="-267"/>
        <w:jc w:val="both"/>
        <w:rPr>
          <w:rFonts w:ascii="Times" w:eastAsia="Times" w:hAnsi="Times" w:cs="Times"/>
        </w:rPr>
        <w:sectPr w:rsidR="009A3566" w:rsidSect="002017B3">
          <w:pgSz w:w="16840" w:h="11900" w:orient="landscape"/>
          <w:pgMar w:top="1701" w:right="1418" w:bottom="1701" w:left="1418" w:header="709" w:footer="709" w:gutter="0"/>
          <w:cols w:space="720"/>
          <w:docGrid w:linePitch="326"/>
        </w:sectPr>
      </w:pPr>
      <w:r>
        <w:rPr>
          <w:rFonts w:ascii="Times" w:eastAsia="Times" w:hAnsi="Times" w:cs="Times"/>
          <w:noProof/>
        </w:rPr>
        <w:drawing>
          <wp:inline distT="0" distB="0" distL="0" distR="0" wp14:anchorId="6B0B773F" wp14:editId="1283BC26">
            <wp:extent cx="8892540" cy="4290695"/>
            <wp:effectExtent l="0" t="0" r="0" b="1905"/>
            <wp:docPr id="14" name="Imagem 14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aptura de Tela 2021-08-31 às 22.00.50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88B2C" w14:textId="720EDBDF" w:rsidR="002D2588" w:rsidRDefault="00CD1134" w:rsidP="002D2588">
      <w:pPr>
        <w:spacing w:line="480" w:lineRule="auto"/>
        <w:ind w:left="-283" w:right="-267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37EFD32" wp14:editId="3F15ED2D">
            <wp:extent cx="8533130" cy="3490595"/>
            <wp:effectExtent l="0" t="0" r="1270" b="1905"/>
            <wp:docPr id="3" name="Imagem 3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Tela 2021-08-31 às 22.48.52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3130" cy="34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2277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46552D70" wp14:editId="1C792498">
            <wp:extent cx="8533130" cy="5200650"/>
            <wp:effectExtent l="0" t="0" r="1270" b="6350"/>
            <wp:docPr id="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Tela 2021-08-31 às 21.21.04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313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EFB58" w14:textId="49BD2F84" w:rsidR="000B2D41" w:rsidRDefault="000B2D41" w:rsidP="00112277">
      <w:pPr>
        <w:spacing w:line="360" w:lineRule="auto"/>
        <w:ind w:right="-267"/>
        <w:jc w:val="both"/>
        <w:rPr>
          <w:rFonts w:ascii="Times New Roman" w:eastAsia="Times New Roman" w:hAnsi="Times New Roman" w:cs="Times New Roman"/>
        </w:rPr>
      </w:pPr>
    </w:p>
    <w:p w14:paraId="79D4BEE7" w14:textId="469A1365" w:rsidR="000B2D41" w:rsidRDefault="00112277">
      <w:pPr>
        <w:spacing w:line="360" w:lineRule="auto"/>
        <w:ind w:left="-283" w:right="-2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1FE6D5F8" wp14:editId="0E8F606A">
            <wp:extent cx="8533130" cy="4917440"/>
            <wp:effectExtent l="0" t="0" r="1270" b="0"/>
            <wp:docPr id="5" name="Imagem 5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Tela 2021-08-31 às 21.24.45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3130" cy="491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73694" w14:textId="292586E3" w:rsidR="000B2D41" w:rsidRDefault="000B2D41">
      <w:pPr>
        <w:spacing w:line="360" w:lineRule="auto"/>
        <w:ind w:left="-283" w:right="-267"/>
        <w:jc w:val="both"/>
        <w:rPr>
          <w:rFonts w:ascii="Times New Roman" w:eastAsia="Times New Roman" w:hAnsi="Times New Roman" w:cs="Times New Roman"/>
        </w:rPr>
      </w:pPr>
    </w:p>
    <w:p w14:paraId="000001B0" w14:textId="1D35FE6D" w:rsidR="00DF1525" w:rsidRDefault="00112277">
      <w:pPr>
        <w:spacing w:line="480" w:lineRule="auto"/>
        <w:ind w:left="-283" w:right="-2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B6E579E" wp14:editId="21F4C2B6">
            <wp:extent cx="8533130" cy="1699895"/>
            <wp:effectExtent l="0" t="0" r="1270" b="1905"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Tela 2021-08-31 às 21.25.37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313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525">
      <w:pgSz w:w="16840" w:h="11900" w:orient="landscape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3BB3" w14:textId="77777777" w:rsidR="00940A98" w:rsidRDefault="00940A98">
      <w:r>
        <w:separator/>
      </w:r>
    </w:p>
  </w:endnote>
  <w:endnote w:type="continuationSeparator" w:id="0">
    <w:p w14:paraId="28AE3DB2" w14:textId="77777777" w:rsidR="00940A98" w:rsidRDefault="0094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mbria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E694" w14:textId="77777777" w:rsidR="00940A98" w:rsidRDefault="00940A98">
      <w:r>
        <w:separator/>
      </w:r>
    </w:p>
  </w:footnote>
  <w:footnote w:type="continuationSeparator" w:id="0">
    <w:p w14:paraId="6FBA99C8" w14:textId="77777777" w:rsidR="00940A98" w:rsidRDefault="00940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799654"/>
      <w:docPartObj>
        <w:docPartGallery w:val="Page Numbers (Top of Page)"/>
        <w:docPartUnique/>
      </w:docPartObj>
    </w:sdtPr>
    <w:sdtEndPr/>
    <w:sdtContent>
      <w:p w14:paraId="7542A074" w14:textId="198F56C0" w:rsidR="002017B3" w:rsidRDefault="002017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01B1" w14:textId="77777777" w:rsidR="00DF1525" w:rsidRDefault="00DF1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240393"/>
      <w:docPartObj>
        <w:docPartGallery w:val="Page Numbers (Top of Page)"/>
        <w:docPartUnique/>
      </w:docPartObj>
    </w:sdtPr>
    <w:sdtEndPr/>
    <w:sdtContent>
      <w:p w14:paraId="3A13ABB5" w14:textId="1A525C46" w:rsidR="002017B3" w:rsidRDefault="002017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C4A0F" w14:textId="77777777" w:rsidR="002017B3" w:rsidRDefault="002017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25"/>
    <w:rsid w:val="000B2D41"/>
    <w:rsid w:val="00112277"/>
    <w:rsid w:val="002017B3"/>
    <w:rsid w:val="00290CE2"/>
    <w:rsid w:val="002D2588"/>
    <w:rsid w:val="003A6322"/>
    <w:rsid w:val="003F28A8"/>
    <w:rsid w:val="00550349"/>
    <w:rsid w:val="005A5B44"/>
    <w:rsid w:val="008D771D"/>
    <w:rsid w:val="00940A98"/>
    <w:rsid w:val="009A3566"/>
    <w:rsid w:val="00AB2D83"/>
    <w:rsid w:val="00B26D03"/>
    <w:rsid w:val="00C3318F"/>
    <w:rsid w:val="00C528DB"/>
    <w:rsid w:val="00C771A1"/>
    <w:rsid w:val="00CD1134"/>
    <w:rsid w:val="00D84717"/>
    <w:rsid w:val="00DD11A5"/>
    <w:rsid w:val="00DF1525"/>
    <w:rsid w:val="00E874A1"/>
    <w:rsid w:val="00F5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C59AB"/>
  <w15:docId w15:val="{0D58D043-6095-4471-B014-F6F470FF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145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45F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45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45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45F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5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5F1"/>
    <w:rPr>
      <w:rFonts w:ascii="Segoe UI" w:hAnsi="Segoe UI" w:cs="Segoe UI"/>
      <w:sz w:val="18"/>
      <w:szCs w:val="18"/>
    </w:r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1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17B3"/>
  </w:style>
  <w:style w:type="paragraph" w:styleId="Rodap">
    <w:name w:val="footer"/>
    <w:basedOn w:val="Normal"/>
    <w:link w:val="RodapChar"/>
    <w:uiPriority w:val="99"/>
    <w:unhideWhenUsed/>
    <w:rsid w:val="00201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17B3"/>
  </w:style>
  <w:style w:type="character" w:styleId="Hyperlink">
    <w:name w:val="Hyperlink"/>
    <w:basedOn w:val="Fontepargpadro"/>
    <w:uiPriority w:val="99"/>
    <w:unhideWhenUsed/>
    <w:rsid w:val="0055034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4482/psdc.33.2.72784" TargetMode="External"/><Relationship Id="rId18" Type="http://schemas.openxmlformats.org/officeDocument/2006/relationships/hyperlink" Target="https://doi.org/10.5007/1982-5153.2019v34n73p358" TargetMode="External"/><Relationship Id="rId26" Type="http://schemas.openxmlformats.org/officeDocument/2006/relationships/image" Target="media/image1.png"/><Relationship Id="rId39" Type="http://schemas.openxmlformats.org/officeDocument/2006/relationships/theme" Target="theme/theme1.xml"/><Relationship Id="rId21" Type="http://schemas.openxmlformats.org/officeDocument/2006/relationships/hyperlink" Target="http://www.jhi-sbis.saude.ws/ojs-jhi/index.php/jhi-sbis/article/view/539" TargetMode="External"/><Relationship Id="rId34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hyperlink" Target="https://doi.org/10.14482/psdc.33.2.72784" TargetMode="External"/><Relationship Id="rId17" Type="http://schemas.openxmlformats.org/officeDocument/2006/relationships/hyperlink" Target="https://doi.org/10.1371/journal.pmed.1000097" TargetMode="External"/><Relationship Id="rId25" Type="http://schemas.openxmlformats.org/officeDocument/2006/relationships/hyperlink" Target="https://doi.org/10.14482/psdc.33.2.72784" TargetMode="External"/><Relationship Id="rId33" Type="http://schemas.openxmlformats.org/officeDocument/2006/relationships/image" Target="media/image8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4482/psdc.33.2.72784" TargetMode="External"/><Relationship Id="rId20" Type="http://schemas.openxmlformats.org/officeDocument/2006/relationships/hyperlink" Target="https://doi.org/10.1089/g4h.2018.0010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4482/psdc.33.2.72784" TargetMode="External"/><Relationship Id="rId24" Type="http://schemas.openxmlformats.org/officeDocument/2006/relationships/hyperlink" Target="https://doi.org/10.1017/S1041610219000267" TargetMode="External"/><Relationship Id="rId32" Type="http://schemas.openxmlformats.org/officeDocument/2006/relationships/image" Target="media/image7.png"/><Relationship Id="rId37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hyperlink" Target="https://doi.org/10.14482/psdc.33.2.72784" TargetMode="External"/><Relationship Id="rId23" Type="http://schemas.openxmlformats.org/officeDocument/2006/relationships/hyperlink" Target="https://doi.org/10.1016/j.ijinfomgt.2018.05.001" TargetMode="External"/><Relationship Id="rId28" Type="http://schemas.openxmlformats.org/officeDocument/2006/relationships/image" Target="media/image3.png"/><Relationship Id="rId36" Type="http://schemas.openxmlformats.org/officeDocument/2006/relationships/image" Target="media/image11.png"/><Relationship Id="rId10" Type="http://schemas.openxmlformats.org/officeDocument/2006/relationships/hyperlink" Target="https://doi.org/10.14482/psdc.33.2.72784" TargetMode="External"/><Relationship Id="rId19" Type="http://schemas.openxmlformats.org/officeDocument/2006/relationships/hyperlink" Target="https://doi.org/10.3389/fpsyg.2018.02127" TargetMode="Externa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dx.doi.org/10.18256/2175-5027.2017.v9i1.1941" TargetMode="External"/><Relationship Id="rId14" Type="http://schemas.openxmlformats.org/officeDocument/2006/relationships/hyperlink" Target="https://doi.org/10.14482/psdc.33.2.72784" TargetMode="External"/><Relationship Id="rId22" Type="http://schemas.openxmlformats.org/officeDocument/2006/relationships/hyperlink" Target="https://doi.org/10.14482/psdc.33.2.72784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image" Target="media/image10.png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2357-FAAC-442E-BE78-4571AD52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3920</Words>
  <Characters>21172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Irani</dc:creator>
  <cp:lastModifiedBy>Irani Iracema de Lima Argimon</cp:lastModifiedBy>
  <cp:revision>2</cp:revision>
  <dcterms:created xsi:type="dcterms:W3CDTF">2021-09-01T20:05:00Z</dcterms:created>
  <dcterms:modified xsi:type="dcterms:W3CDTF">2021-09-01T20:05:00Z</dcterms:modified>
</cp:coreProperties>
</file>