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FDBC4" w14:textId="1856F59B" w:rsidR="009B4A65" w:rsidRPr="003C5BF7" w:rsidRDefault="009B4A65" w:rsidP="00791EA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</w:pPr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Síndrome de Burnout e COVID-19: revisão integrativa sobre profissionais de saúde</w:t>
      </w:r>
    </w:p>
    <w:p w14:paraId="15F71981" w14:textId="377720F3" w:rsidR="009B4A65" w:rsidRPr="003C5BF7" w:rsidRDefault="009B4A65" w:rsidP="00791EA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val="en-US"/>
        </w:rPr>
      </w:pPr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Burnout Syndrome and COVID-19: an integrative review </w:t>
      </w:r>
      <w:r w:rsidR="00C10AC7"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of </w:t>
      </w:r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health professionals</w:t>
      </w:r>
    </w:p>
    <w:p w14:paraId="141CCE75" w14:textId="542B65C6" w:rsidR="009B4A65" w:rsidRPr="003C5BF7" w:rsidRDefault="009B4A65" w:rsidP="00791EA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Síndrome de Burnout y COVID-19: una </w:t>
      </w:r>
      <w:proofErr w:type="spellStart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revisión</w:t>
      </w:r>
      <w:proofErr w:type="spellEnd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integra</w:t>
      </w:r>
      <w:r w:rsidR="00F62129"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tiva</w:t>
      </w:r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sobre </w:t>
      </w:r>
      <w:proofErr w:type="spellStart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profesionales</w:t>
      </w:r>
      <w:proofErr w:type="spellEnd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</w:t>
      </w:r>
      <w:proofErr w:type="spellEnd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C5B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salud</w:t>
      </w:r>
      <w:proofErr w:type="spellEnd"/>
    </w:p>
    <w:p w14:paraId="5822A3EB" w14:textId="77777777" w:rsidR="00680467" w:rsidRDefault="0068046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13903" w14:textId="02C1994C" w:rsidR="00A9503B" w:rsidRPr="00680467" w:rsidRDefault="009B4A65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467">
        <w:rPr>
          <w:rFonts w:ascii="Times New Roman" w:eastAsia="Times New Roman" w:hAnsi="Times New Roman" w:cs="Times New Roman"/>
          <w:sz w:val="24"/>
          <w:szCs w:val="24"/>
        </w:rPr>
        <w:t>Seção: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0467">
        <w:rPr>
          <w:rFonts w:ascii="Times New Roman" w:eastAsia="Times New Roman" w:hAnsi="Times New Roman" w:cs="Times New Roman"/>
          <w:sz w:val="24"/>
          <w:szCs w:val="24"/>
        </w:rPr>
        <w:t>Artigo de revisão sistematizada de literatura.</w:t>
      </w:r>
    </w:p>
    <w:p w14:paraId="0088E912" w14:textId="6D2B914A" w:rsidR="00680467" w:rsidRDefault="0068046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B71B33A" w14:textId="13F58EEA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4E786E7D" w14:textId="7D33962F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F15950A" w14:textId="3A038629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43EB175" w14:textId="642A91D2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50290798" w14:textId="5115380C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613F86E" w14:textId="372E6628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0A11F057" w14:textId="6D3DEAFB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7B6C93EB" w14:textId="0F739E94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1973F26" w14:textId="025E752B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7CC1965C" w14:textId="29B239EB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564A58B" w14:textId="712F8FAC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48A7B2F1" w14:textId="6488B252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B2DEDC5" w14:textId="5C0793AE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29B95075" w14:textId="45504E9A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34E44954" w14:textId="34DDFE1F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436AC699" w14:textId="7251C587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4613C61A" w14:textId="7FA3A93C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44A0622D" w14:textId="77777777" w:rsidR="00D805B7" w:rsidRDefault="00D805B7" w:rsidP="00791EA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3D365BB" w14:textId="43F747C3" w:rsidR="00CF275B" w:rsidRPr="00C21326" w:rsidRDefault="00CF275B" w:rsidP="00791EAE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  <w:lastRenderedPageBreak/>
        <w:t>Resumo</w:t>
      </w:r>
    </w:p>
    <w:p w14:paraId="05BAF509" w14:textId="232E33D4" w:rsidR="00A9503B" w:rsidRDefault="00A9503B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Síndrome de Burnout possui relevância no contexto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dos profissionais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da saúd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 repercutindo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negativa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mente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o trabalhador e o paciente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O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presente estudo tem por objetivo investigar os impactos da pandemia referente ao vírus Sars-Cov-2 na saúde mental de profissionais de saúde que continuaram trabalhando durante esse período, verificando especificamente a incidência da Síndrome de Burnout nesta amostra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>Para isso, realizou-se uma revisão integrativa d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 literatura nacional e internacional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os últimos cinco anos, utilizando descritores relacionados ao tema. Os resultados levantaram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>pesquisas dentro dos critérios estabelecidos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>Foram evidenciados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estudos que confirmam o aumento da síndrome 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>nesses trabalhadores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="006A3557">
        <w:rPr>
          <w:rFonts w:ascii="Times New Roman" w:eastAsia="Times New Roman" w:hAnsi="Times New Roman" w:cs="Times New Roman"/>
          <w:sz w:val="24"/>
          <w:szCs w:val="24"/>
        </w:rPr>
        <w:t xml:space="preserve">sintomas de ansiedade, depressão, estresse,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transtornos </w:t>
      </w:r>
      <w:r w:rsidR="006A3557">
        <w:rPr>
          <w:rFonts w:ascii="Times New Roman" w:eastAsia="Times New Roman" w:hAnsi="Times New Roman" w:cs="Times New Roman"/>
          <w:sz w:val="24"/>
          <w:szCs w:val="24"/>
        </w:rPr>
        <w:t>diversos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a necessidade de 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>implementar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intervenções que proporcionem saúde mental </w:t>
      </w:r>
      <w:r w:rsidR="00F62129">
        <w:rPr>
          <w:rFonts w:ascii="Times New Roman" w:eastAsia="Times New Roman" w:hAnsi="Times New Roman" w:cs="Times New Roman"/>
          <w:sz w:val="24"/>
          <w:szCs w:val="24"/>
        </w:rPr>
        <w:t>à respectiva</w:t>
      </w:r>
      <w:r w:rsidRPr="00A9503B">
        <w:rPr>
          <w:rFonts w:ascii="Times New Roman" w:eastAsia="Times New Roman" w:hAnsi="Times New Roman" w:cs="Times New Roman"/>
          <w:sz w:val="24"/>
          <w:szCs w:val="24"/>
        </w:rPr>
        <w:t xml:space="preserve"> população. </w:t>
      </w:r>
      <w:r w:rsidR="006A3557" w:rsidRPr="009C5F1C">
        <w:rPr>
          <w:rFonts w:ascii="Times New Roman" w:eastAsia="Times New Roman" w:hAnsi="Times New Roman" w:cs="Times New Roman"/>
          <w:sz w:val="24"/>
          <w:szCs w:val="24"/>
        </w:rPr>
        <w:t>Esta pesquisa traz colaborações sobre saúde mental de profissionais de saúde no contexto pandêmico, estratégias de enfrentamento a nível individual e organizacional, bem como o uso recente de instrumentos de mensuração do Burnout.</w:t>
      </w:r>
    </w:p>
    <w:p w14:paraId="770F12F3" w14:textId="64C9FE6D" w:rsidR="00680467" w:rsidRPr="00680467" w:rsidRDefault="006A3557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467">
        <w:rPr>
          <w:rFonts w:ascii="Times New Roman" w:eastAsia="Times New Roman" w:hAnsi="Times New Roman" w:cs="Times New Roman"/>
          <w:sz w:val="24"/>
          <w:szCs w:val="24"/>
        </w:rPr>
        <w:t>Palavras-chave: Esgotamento psicológico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</w:rPr>
        <w:t xml:space="preserve">; Infecções por </w:t>
      </w:r>
      <w:proofErr w:type="spellStart"/>
      <w:r w:rsidR="00680467" w:rsidRPr="00680467">
        <w:rPr>
          <w:rFonts w:ascii="Times New Roman" w:eastAsia="Times New Roman" w:hAnsi="Times New Roman" w:cs="Times New Roman"/>
          <w:sz w:val="24"/>
          <w:szCs w:val="24"/>
        </w:rPr>
        <w:t>Coronav</w:t>
      </w:r>
      <w:r w:rsidR="00A85BEA">
        <w:rPr>
          <w:rFonts w:ascii="Times New Roman" w:eastAsia="Times New Roman" w:hAnsi="Times New Roman" w:cs="Times New Roman"/>
          <w:sz w:val="24"/>
          <w:szCs w:val="24"/>
        </w:rPr>
        <w:t>í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</w:rPr>
        <w:t>rus</w:t>
      </w:r>
      <w:proofErr w:type="spellEnd"/>
      <w:r w:rsidR="00680467" w:rsidRPr="00680467">
        <w:rPr>
          <w:rFonts w:ascii="Times New Roman" w:eastAsia="Times New Roman" w:hAnsi="Times New Roman" w:cs="Times New Roman"/>
          <w:sz w:val="24"/>
          <w:szCs w:val="24"/>
        </w:rPr>
        <w:t>; Pessoal de Saúde.</w:t>
      </w:r>
    </w:p>
    <w:p w14:paraId="76C11AFC" w14:textId="77777777" w:rsidR="00991AFF" w:rsidRDefault="00991AFF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ED7B5D0" w14:textId="312180AC" w:rsidR="00CF275B" w:rsidRPr="00C21326" w:rsidRDefault="00CF275B" w:rsidP="00791EAE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val="en-US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val="en-US"/>
        </w:rPr>
        <w:t>Abstract</w:t>
      </w:r>
    </w:p>
    <w:p w14:paraId="26BE13D8" w14:textId="19BC608C" w:rsidR="00680467" w:rsidRPr="00680467" w:rsidRDefault="00F62129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Burnout Syndrome</w:t>
      </w:r>
      <w:r w:rsidR="00F602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12C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remarkable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r w:rsidR="00F60282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 the healthcare professionals’ context,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introducing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negative impact on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both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worker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patient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. Th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e present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has as an objective to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investigat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the impacts of the pandemic regarding the Sars-Cov-2 virus on the mental health of health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care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professionals </w:t>
      </w:r>
      <w:r w:rsidR="00A85BEA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continue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working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during th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period,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more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specifically verifying the incidence of Burnout Syndrome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within this group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integrative review of national and international literature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past five years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carried out using descriptors related to the topic. The results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included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37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studies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fully matched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criteria.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The findings of this review evidenced studies that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confirm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increase 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syndrome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E582C">
        <w:rPr>
          <w:rFonts w:ascii="Times New Roman" w:eastAsia="Times New Roman" w:hAnsi="Times New Roman" w:cs="Times New Roman"/>
          <w:sz w:val="24"/>
          <w:szCs w:val="24"/>
          <w:lang w:val="en-US"/>
        </w:rPr>
        <w:t>n healthcare professionals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>as well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symptoms of anxiety, depression, stress, various disorders and the necessity of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implementing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interventions that provide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better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 health to this population. This research </w:t>
      </w:r>
      <w:r w:rsidR="00E97520">
        <w:rPr>
          <w:rFonts w:ascii="Times New Roman" w:eastAsia="Times New Roman" w:hAnsi="Times New Roman" w:cs="Times New Roman"/>
          <w:sz w:val="24"/>
          <w:szCs w:val="24"/>
          <w:lang w:val="en-US"/>
        </w:rPr>
        <w:t>contains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collaborations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about the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mental health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>care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professionals in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pandemic context, </w:t>
      </w:r>
      <w:r w:rsidR="00944C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coping </w:t>
      </w:r>
      <w:r w:rsidR="00680467" w:rsidRPr="00680467">
        <w:rPr>
          <w:rFonts w:ascii="Times New Roman" w:eastAsia="Times New Roman" w:hAnsi="Times New Roman" w:cs="Times New Roman"/>
          <w:sz w:val="24"/>
          <w:szCs w:val="24"/>
          <w:lang w:val="en-US"/>
        </w:rPr>
        <w:t>strategies at the individual and organizational level, as well as the recent use of Burnout measuring instruments.</w:t>
      </w:r>
    </w:p>
    <w:p w14:paraId="163A26F3" w14:textId="37C53544" w:rsidR="00680467" w:rsidRPr="008A7B9C" w:rsidRDefault="00C46905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Keywords:</w:t>
      </w:r>
      <w:r w:rsidR="00680467" w:rsidRPr="008A7B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B4F14" w:rsidRPr="003B4F1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Burnout, Psychological</w:t>
      </w:r>
      <w:r w:rsidR="00680467" w:rsidRPr="008A7B9C">
        <w:rPr>
          <w:rFonts w:ascii="Times New Roman" w:eastAsia="Times New Roman" w:hAnsi="Times New Roman" w:cs="Times New Roman"/>
          <w:sz w:val="24"/>
          <w:szCs w:val="24"/>
          <w:lang w:val="en-US"/>
        </w:rPr>
        <w:t>; Coronavirus</w:t>
      </w:r>
      <w:r w:rsidR="008A7B9C" w:rsidRPr="008A7B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Infections</w:t>
      </w:r>
      <w:r w:rsidR="00680467" w:rsidRPr="008A7B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="008A7B9C" w:rsidRPr="00CB588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Health </w:t>
      </w:r>
      <w:proofErr w:type="spellStart"/>
      <w:r w:rsidR="008A7B9C" w:rsidRPr="00CB588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</w:t>
      </w:r>
      <w:r w:rsidR="00CB5880" w:rsidRPr="00CB588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ersonne</w:t>
      </w:r>
      <w:proofErr w:type="spellEnd"/>
      <w:r w:rsidR="00680467" w:rsidRPr="008A7B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300B5F" w14:textId="77777777" w:rsidR="00680467" w:rsidRPr="008A7B9C" w:rsidRDefault="00680467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14:paraId="14531979" w14:textId="7F958584" w:rsidR="00CF275B" w:rsidRPr="00C21326" w:rsidRDefault="00CF275B" w:rsidP="00791EAE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val="es-ES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val="es-ES"/>
        </w:rPr>
        <w:t>Resumen</w:t>
      </w:r>
    </w:p>
    <w:p w14:paraId="4EC2B5B9" w14:textId="7ED575D0" w:rsidR="00680467" w:rsidRPr="00C01ADA" w:rsidRDefault="00C46905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="00926CA8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Síndrome de Burnout tiene relevancia </w:t>
      </w:r>
      <w:r w:rsidR="00926CA8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 contexto de </w:t>
      </w:r>
      <w:r w:rsidR="00A85BEA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os profesionales de la salud</w:t>
      </w:r>
      <w:r w:rsidR="00926CA8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, presentando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impacto negativo en el trabajador y el paciente. Este estudio tiene como objetivo investigar los impactos de la pandemia del virus Sars-Cov-2 en la salud mental de los profesionales de la salud que continuar</w:t>
      </w:r>
      <w:r w:rsidR="00926CA8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on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trabajando durante es</w:t>
      </w: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t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 período, verificando específicamente la incidencia del Síndrome de Burnout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en esta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muestra.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Para hacerlo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realizó una revisión integra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literatura nacional e internacional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los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últimos cinco años, utilizando descriptores relacionados con el tema. Los resultados suscitar</w:t>
      </w: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 37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estudios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dentro de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os criterios establecidos.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="009440CE">
        <w:rPr>
          <w:rFonts w:ascii="Times New Roman" w:eastAsia="Times New Roman" w:hAnsi="Times New Roman" w:cs="Times New Roman"/>
          <w:sz w:val="24"/>
          <w:szCs w:val="24"/>
          <w:lang w:val="es-ES"/>
        </w:rPr>
        <w:t>ue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="009440CE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n evidenciados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estudios que confirman el aumento del síndrome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prof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esionale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s de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sa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lu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d,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así 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como síntomas de ansiedad, depresión, estrés, diversos trastornos y la necesidad de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implementar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intervenciones que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traigan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más salud mental a esta población. Esta investigación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proporciona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colaboraciones sobre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salud mental de profesionales de la salud en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contexto pandémico, estrategias de </w:t>
      </w:r>
      <w:r w:rsidR="00C01ADA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afrontamiento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="006804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nivel individual y organizacional, así como el uso reciente de instrumentos de medición de Burnout.</w:t>
      </w:r>
    </w:p>
    <w:p w14:paraId="03F3868C" w14:textId="3EB788E0" w:rsidR="00680467" w:rsidRPr="00C01ADA" w:rsidRDefault="00680467" w:rsidP="00791EA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s-ES"/>
        </w:rPr>
      </w:pP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Palabras clave: </w:t>
      </w:r>
      <w:r w:rsidR="004A5167"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Agotamiento</w:t>
      </w: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psicológico; Infecciones por coronavirus; </w:t>
      </w:r>
      <w:r w:rsidRPr="00C01ADA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>P</w:t>
      </w:r>
      <w:r w:rsidR="00C01ADA" w:rsidRPr="00C01ADA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>ersonal</w:t>
      </w:r>
      <w:r w:rsidRPr="00C01ADA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 xml:space="preserve"> de salud</w:t>
      </w:r>
      <w:r w:rsidRPr="00C01AD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E92A6DA" w14:textId="7B17B210" w:rsidR="003C5BF7" w:rsidRDefault="003C5BF7" w:rsidP="0068046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170AD8" w14:textId="55774852" w:rsidR="003C5BF7" w:rsidRPr="00C21326" w:rsidRDefault="003C5BF7" w:rsidP="00680467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</w:rPr>
        <w:lastRenderedPageBreak/>
        <w:t>Introdução</w:t>
      </w:r>
    </w:p>
    <w:p w14:paraId="00000007" w14:textId="1F3B86AB" w:rsidR="006D3882" w:rsidRPr="009C5F1C" w:rsidRDefault="006735F7" w:rsidP="009C5F1C">
      <w:pPr>
        <w:spacing w:line="480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Síndrome de Burnout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consiste no efeito de insatisfatórios recursos de enfrentamento frente aos níveis de estresse ou em sua respectiva falha, emergindo progressivamente (Souza &amp; Maria, 2016). </w:t>
      </w:r>
      <w:proofErr w:type="spellStart"/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Freudenberger</w:t>
      </w:r>
      <w:proofErr w:type="spellEnd"/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(1974) iniciou os estudos sobre esse fenômeno, porém a base teórica da síndrome foi consolidada na década de 1980 por </w:t>
      </w:r>
      <w:proofErr w:type="spellStart"/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Maslach</w:t>
      </w:r>
      <w:proofErr w:type="spellEnd"/>
      <w:r w:rsidR="00FE4BAA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Jackson,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 xml:space="preserve"> as quais pontuam uma definição </w:t>
      </w:r>
      <w:r w:rsidR="001F62C9" w:rsidRPr="001F62C9">
        <w:rPr>
          <w:rFonts w:ascii="Times New Roman" w:eastAsia="Times New Roman" w:hAnsi="Times New Roman" w:cs="Times New Roman"/>
          <w:color w:val="FF0000"/>
          <w:sz w:val="24"/>
          <w:szCs w:val="24"/>
        </w:rPr>
        <w:t>sócio psicológica</w:t>
      </w:r>
      <w:r w:rsidR="00FE4BAA" w:rsidRPr="001F62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 xml:space="preserve">multifatorial </w:t>
      </w:r>
      <w:r w:rsidR="00CF275B" w:rsidRPr="009C5F1C">
        <w:rPr>
          <w:rFonts w:ascii="Times New Roman" w:eastAsia="Times New Roman" w:hAnsi="Times New Roman" w:cs="Times New Roman"/>
          <w:sz w:val="24"/>
          <w:szCs w:val="24"/>
        </w:rPr>
        <w:t xml:space="preserve">(Aguiar, Silva, Carvalho, Ferreira, &amp; Jesus, 2017), 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 xml:space="preserve">envolvendo três dimensões: a exaustão emocional, a despersonalização e a redução da realização profissional (Mota, Farias, Silva, &amp; </w:t>
      </w:r>
      <w:proofErr w:type="spellStart"/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>Folle</w:t>
      </w:r>
      <w:proofErr w:type="spellEnd"/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2017). </w:t>
      </w:r>
    </w:p>
    <w:p w14:paraId="00000008" w14:textId="34A147CF" w:rsidR="006D3882" w:rsidRPr="009C5F1C" w:rsidRDefault="00FE4BAA" w:rsidP="009C5F1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O componente de exaustão emocional retrata forte tensão, o que produz sentimento de esgotamento, além de apresentar sensação de não possuir energia e recursos emocionais necessários para enfrentar as demandas laborais, assim, representa a dimensão individual da síndrome (Mota et al., 2017).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âmbito da despersonalização é descrito como efeito de comportamentos negativos, eventualmente apresentando atitudes de indiferença e cinismo em relação a indivíduos com os quais se relaciona e são seu desígnio de trabalho (Mota et al., 2017). Nesse cenário, é possível que se apresente resistência ou repulsa a atividade laboral, configurando distanciamento mental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Vazquez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2019). Por fim, a redução de realização profissional refere-se ao sentimento de incompetência e de diminuição da produtividade no trabalho, sentindo-se impotente e desquitando </w:t>
      </w:r>
      <w:r w:rsidR="00CF275B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valor </w:t>
      </w:r>
      <w:r w:rsidR="00E00FBB">
        <w:rPr>
          <w:rFonts w:ascii="Times New Roman" w:eastAsia="Times New Roman" w:hAnsi="Times New Roman" w:cs="Times New Roman"/>
          <w:sz w:val="24"/>
          <w:szCs w:val="24"/>
          <w:highlight w:val="white"/>
        </w:rPr>
        <w:t>até de</w:t>
      </w:r>
      <w:r w:rsidR="00CF275B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objetivos já atingidos (Souza &amp; Maria, 2016).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4E487F" w14:textId="33CB8252" w:rsidR="00D85215" w:rsidRPr="00680467" w:rsidRDefault="00FE4BAA" w:rsidP="00680467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Freudenberger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(1974) ressalta que a síndrome pode ser percebida através de sinais físicos facilmente identificáveis, como a fadiga e exaustão, incapacidade de se recuperar de um resfriado persistente, dores de cabeça frequentes, incômodos gastrointestinais, insônia e falta de ar, sintomas também encontrados em estudos recentes presentes na revisão sistemática realizada por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Salvagioni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 (2017).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dimensões anteriormente citadas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podem apresentar-se junto a sintomas considerados secundários, mas que constituem agravamento às condições de saúde do indivíduo, como humor depressivo e angústia psicológica, então, configurando atualmente os principais motivos de afastamento do trabalho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Vazquez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2019). </w:t>
      </w:r>
      <w:r w:rsidR="00680467">
        <w:rPr>
          <w:rFonts w:ascii="Times New Roman" w:eastAsia="Times New Roman" w:hAnsi="Times New Roman" w:cs="Times New Roman"/>
          <w:sz w:val="24"/>
          <w:szCs w:val="24"/>
          <w:highlight w:val="white"/>
        </w:rPr>
        <w:t>H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á demonstrações de que alterações na saúde do profissional possuem efeitos na produção e qualidade dos serviços prestados (Martins, 2017). </w:t>
      </w:r>
      <w:r w:rsidR="00D85215" w:rsidRPr="009C5F1C">
        <w:rPr>
          <w:rFonts w:ascii="Times New Roman" w:eastAsia="Times New Roman" w:hAnsi="Times New Roman" w:cs="Times New Roman"/>
          <w:sz w:val="24"/>
          <w:szCs w:val="24"/>
        </w:rPr>
        <w:t>Diante do exposto, Aguiar et al. (2017)</w:t>
      </w:r>
      <w:r w:rsidR="00680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215" w:rsidRPr="009C5F1C">
        <w:rPr>
          <w:rFonts w:ascii="Times New Roman" w:eastAsia="Times New Roman" w:hAnsi="Times New Roman" w:cs="Times New Roman"/>
          <w:sz w:val="24"/>
          <w:szCs w:val="24"/>
        </w:rPr>
        <w:t>pontuam que o aumento observado no índice de trabalhadores com a Síndrome de Burnout não é referente a inadequação de comportamentos dos colaboradores, mas do caráter do ofício e presença de modificações nos espaços e relações de trabalho.</w:t>
      </w:r>
    </w:p>
    <w:p w14:paraId="052F7CFC" w14:textId="77777777" w:rsidR="006A4BD9" w:rsidRDefault="00FE4BAA" w:rsidP="00680467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Nesse espectro, estudos relativos a profissionais de saúde evidenciaram que a Síndrome de Burnout estaria associada à quadros de depressão, ansiedade, estresse</w:t>
      </w:r>
      <w:r w:rsidR="009C5F1C"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baixa qualidade de vida (De Paiva, Canário, China, &amp; Gonçalves, 2017;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Vandevala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 2017), e altos índices de Burnout como um estado de empobrecimento do bem-estar e maior número de erros relatados, afetando também a segurança do paciente (Hall, Johnson, Watt,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Tsipa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&amp; O'Connor, 2016). </w:t>
      </w:r>
    </w:p>
    <w:p w14:paraId="0000000D" w14:textId="460BD55A" w:rsidR="006D3882" w:rsidRPr="009C5F1C" w:rsidRDefault="00FE4BAA" w:rsidP="00680467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Diante do desenvolvimento da Síndrome de Burnout </w:t>
      </w:r>
      <w:r w:rsidR="00D85215">
        <w:rPr>
          <w:rFonts w:ascii="Times New Roman" w:eastAsia="Times New Roman" w:hAnsi="Times New Roman" w:cs="Times New Roman"/>
          <w:sz w:val="24"/>
          <w:szCs w:val="24"/>
        </w:rPr>
        <w:t xml:space="preserve">no contexto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supracitado, no qual ambientes de cuidados da saúde já são muitas vezes retratados como potenciais geradores de insegurança, estresse e pressão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Bridgeman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Bridgeman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, &amp; Barone, 2017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), a preocupação com a saúde mental se intensifica diante do surgimento da COVID-19</w:t>
      </w:r>
      <w:r w:rsidR="006A4BD9">
        <w:rPr>
          <w:rFonts w:ascii="Times New Roman" w:eastAsia="Times New Roman" w:hAnsi="Times New Roman" w:cs="Times New Roman"/>
          <w:sz w:val="24"/>
          <w:szCs w:val="24"/>
        </w:rPr>
        <w:t>. C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ausad</w:t>
      </w:r>
      <w:r w:rsidR="001546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pelo vírus Sars-Cov-2 e relatad</w:t>
      </w:r>
      <w:r w:rsidR="001546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pela primeira vez em dezembro de 2019 na China, </w:t>
      </w:r>
      <w:r w:rsidR="006A4BD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quadro vem se espalhando velozmente a nível internacional (Li et al</w:t>
      </w:r>
      <w:r w:rsidR="00D852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, 2020), sendo considerad</w:t>
      </w:r>
      <w:r w:rsidR="005B1B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em março de 2020 uma emergência de saúde pública pela World Health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(2020).</w:t>
      </w:r>
    </w:p>
    <w:p w14:paraId="016E57E3" w14:textId="21E329BF" w:rsidR="00D85215" w:rsidRDefault="00FE4BAA" w:rsidP="00D85215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Pfefferbaum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 North (2020) argumentam que </w:t>
      </w:r>
      <w:r w:rsidR="00D85215" w:rsidRPr="009C5F1C">
        <w:rPr>
          <w:rFonts w:ascii="Times New Roman" w:eastAsia="Times New Roman" w:hAnsi="Times New Roman" w:cs="Times New Roman"/>
          <w:sz w:val="24"/>
          <w:szCs w:val="24"/>
        </w:rPr>
        <w:t>emergências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em saúde pública possuem possíveis efeitos tanto propriamente na saúde e segurança quanto no bem-estar de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indivíduos e comunidades. D</w:t>
      </w:r>
      <w:r w:rsidR="00D56343">
        <w:rPr>
          <w:rFonts w:ascii="Times New Roman" w:eastAsia="Times New Roman" w:hAnsi="Times New Roman" w:cs="Times New Roman"/>
          <w:sz w:val="24"/>
          <w:szCs w:val="24"/>
        </w:rPr>
        <w:t>essa forma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alguns grupos podem apresentar maior vulnerabilidade que outros aos efeitos psicossociais de pandemias, então, sendo possível </w:t>
      </w:r>
      <w:r w:rsidR="00D56343">
        <w:rPr>
          <w:rFonts w:ascii="Times New Roman" w:eastAsia="Times New Roman" w:hAnsi="Times New Roman" w:cs="Times New Roman"/>
          <w:sz w:val="24"/>
          <w:szCs w:val="24"/>
        </w:rPr>
        <w:t>exemplificar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indivíduos com transtornos de uso de substâncias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Minihan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Gavin, Kelly,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McNicholas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2020), pessoas que contraíram a doença e, particularmente, profissionais de saúde (Kelly, 2020)</w:t>
      </w:r>
      <w:r w:rsidR="00D852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0" w14:textId="6BA35D07" w:rsidR="006D3882" w:rsidRPr="009C5F1C" w:rsidRDefault="00FE4BAA" w:rsidP="009C5F1C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Sung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 (2020), a longa duração da pandemia de uma doença aumenta níveis de Burnout em médicos, o que coincide ao cenário construído a partir da COVID-19 cujas consequências impactaram globalmente profissionais de saúde. Experiências prévias com epidemias, como a SARS e a Síndrome Respiratória do Oriente Médio (MERS), não mitigam o surgimento de Burnout durante a pandemia decorrente do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coronavírus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. Por fim, estudos realizados por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Barello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Palamenghi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Graffigna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(2020) relataram níveis mais elevados de exaustão emocional em profissionais de saúde quando comparados com valores normativos.</w:t>
      </w:r>
    </w:p>
    <w:p w14:paraId="00000012" w14:textId="67C96E89" w:rsidR="006D3882" w:rsidRDefault="00FE4BAA" w:rsidP="00680467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Considerando que a Síndrome de Burnout possui relevância no contexto da saúde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Molero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Jurado, Pérez-Fuentes,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Gázquez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Linares,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Barragán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Martín, 2018), sendo nesse âmbito investigada em profissionais de diversas áreas (Navarro,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Ayechu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Huarte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, 2015), além de apresentar inúmeras repercussões negativas para o trabalhador e o paciente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Bridgeman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et al.,</w:t>
      </w:r>
      <w:r w:rsidR="00D8521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2017), torna-se pertinente explorar a saúde mental desses colaboradores no contexto pandêmico. Dessa forma, o presente estudo tem por objetivo investigar os impactos da pandemia referente ao vírus Sars-Cov-2 na saúde mental de profissionais de saúde que continuaram trabalhando durante esse período, verificando especificamente a incidência da Síndrome de Burnout nesta amostra.</w:t>
      </w:r>
    </w:p>
    <w:p w14:paraId="35A25EF4" w14:textId="77777777" w:rsidR="00680467" w:rsidRPr="009C5F1C" w:rsidRDefault="00680467" w:rsidP="00680467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4" w14:textId="2B2FEA2C" w:rsidR="006D3882" w:rsidRPr="00C21326" w:rsidRDefault="00FE4BAA" w:rsidP="009C5F1C">
      <w:pPr>
        <w:spacing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Método</w:t>
      </w:r>
    </w:p>
    <w:p w14:paraId="00000015" w14:textId="77777777" w:rsidR="006D3882" w:rsidRPr="009C5F1C" w:rsidRDefault="00FE4BAA" w:rsidP="009C5F1C">
      <w:pPr>
        <w:spacing w:line="480" w:lineRule="auto"/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A revisão integrativa de literatura é um método caracterizado como Prática Baseada em Evidência (PBE) que objetiva a reunião e síntese organizada de resultados de demais estudos a respeito de determinada temática ou questão, possibilitando o aprofundamento do respectivo saber (Oliveira, Lima, &amp; Vilela, 2017). As etapas propostas para a síntese do conhecimento foram respeitadas nesta pesquisa (Souza, Silva, &amp; Carvalho, 2010). </w:t>
      </w:r>
    </w:p>
    <w:p w14:paraId="00000016" w14:textId="59FACBDB" w:rsidR="006D3882" w:rsidRPr="009C5F1C" w:rsidRDefault="00FE4BAA" w:rsidP="009C5F1C">
      <w:pPr>
        <w:spacing w:line="480" w:lineRule="auto"/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busca pelas pesquisas foi realizada no portal Periódicos Capes,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PsycArticles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PubMed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Web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Science e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Scielo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 seleção dessas bases de dados ocorreu por se caracterizarem como referências na busca de artigos nacionais e internacionais na área de psicologia (Braun,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Vierheller</w:t>
      </w:r>
      <w:proofErr w:type="spellEnd"/>
      <w:r w:rsidR="004A0FD4" w:rsidRPr="004A0FD4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Oliveira, 2016) e nas ciências biomédicas. Foram utilizados os descritores e operadores booleanos: ("burnout" AND "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covid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"), através do método de busca "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Any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Field". Os descritores foram elencados visando recuperar produções sobre o desenvolvimento do Burnout tendo em vista o atual cenário de pandemia ocasionado pela COVID-19, assim, buscando abranger o máximo de pesquisas referentes ao tema através das palavras-chave para, a partir disso, selecionar aqueles pertinentes ao objetivo dessa pesquisa. A coleta de dados ocorreu entre maio/2020 a julho/2020 e teve como critérios de inclusão que as produções científicas abordassem temáticas que relacionam a COVID-19 e a Síndrome de Burnout em profissionais de saúde; estudos que fossem empíricos ou teóricos; escritos na língua portuguesa ou inglesa. </w:t>
      </w:r>
    </w:p>
    <w:p w14:paraId="00000017" w14:textId="79F63907" w:rsidR="006D3882" w:rsidRDefault="00FE4BAA" w:rsidP="009C5F1C">
      <w:pPr>
        <w:spacing w:line="480" w:lineRule="auto"/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Foram encontrados 422 artigos nas bases de dados selecionadas. Após utilização dos critérios de inclusão, foram eliminados 208 trabalhos científicos. Com o objetivo de selecionar somente as produções que abordassem como foco a relação do Burnout com COVID-19, realizou-se a leitura dos resumos dos 214 artigos, e, quando necessário, a leitura era realizada integralmente. A partir dessa etapa, foram retirados 148 por apenas citarem a Síndrome de Burnout, sem apresentar relevância e associação à COVID-19 na pesquisa realizada em cada artigo. Foram removidos 29 trabalhos duplicados, restando 37 </w:t>
      </w: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artigos, os quais foram analisados nesta revisão. </w:t>
      </w:r>
      <w:r w:rsidR="00D85215" w:rsidRPr="00367C4B">
        <w:rPr>
          <w:rFonts w:ascii="Times New Roman" w:eastAsia="Times New Roman" w:hAnsi="Times New Roman" w:cs="Times New Roman"/>
          <w:bCs/>
          <w:sz w:val="24"/>
          <w:szCs w:val="24"/>
        </w:rPr>
        <w:t>Na Figura 1 pode ser visualizada a sistemática de busca e seleção dos artigos.</w:t>
      </w:r>
    </w:p>
    <w:p w14:paraId="295BB4F7" w14:textId="77777777" w:rsidR="006A3557" w:rsidRDefault="006A3557" w:rsidP="006A3557">
      <w:pPr>
        <w:spacing w:line="48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****</w:t>
      </w:r>
      <w:r w:rsidR="00D85215">
        <w:rPr>
          <w:rFonts w:ascii="Times New Roman" w:eastAsia="Times New Roman" w:hAnsi="Times New Roman" w:cs="Times New Roman"/>
          <w:sz w:val="24"/>
          <w:szCs w:val="24"/>
          <w:highlight w:val="white"/>
        </w:rPr>
        <w:t>Inserir Figura 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****</w:t>
      </w:r>
    </w:p>
    <w:p w14:paraId="00000018" w14:textId="17260A09" w:rsidR="006D3882" w:rsidRPr="009C5F1C" w:rsidRDefault="00FE4BAA" w:rsidP="006A3557">
      <w:pPr>
        <w:spacing w:line="480" w:lineRule="auto"/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C5F1C">
        <w:rPr>
          <w:rFonts w:ascii="Times New Roman" w:eastAsia="Times New Roman" w:hAnsi="Times New Roman" w:cs="Times New Roman"/>
          <w:sz w:val="24"/>
          <w:szCs w:val="24"/>
          <w:highlight w:val="white"/>
        </w:rPr>
        <w:t>Para evitar vieses, o percurso de seleção de artigos foi realizado por três revisoras de modo independente, e, no caso de divergências, buscava-se um consenso. Por fim, visando maior aprofundamento na análise dos dados, utilizou-se a análise de conteúdo (Bardin, 2011).</w:t>
      </w:r>
    </w:p>
    <w:p w14:paraId="0000001A" w14:textId="7126A4F6" w:rsidR="006D3882" w:rsidRPr="009C5F1C" w:rsidRDefault="006D3882" w:rsidP="009C5F1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14:paraId="0000001B" w14:textId="0AC2D765" w:rsidR="006D3882" w:rsidRPr="00C21326" w:rsidRDefault="00FE4BAA" w:rsidP="009C5F1C">
      <w:pPr>
        <w:spacing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Resultados </w:t>
      </w:r>
    </w:p>
    <w:p w14:paraId="0000001E" w14:textId="2D800E74" w:rsidR="006D3882" w:rsidRPr="00C21326" w:rsidRDefault="00FE4BAA" w:rsidP="00C21326">
      <w:pPr>
        <w:spacing w:line="48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Características dos estudos revisados</w:t>
      </w:r>
    </w:p>
    <w:p w14:paraId="0000001F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O estudo foi constituído por 37 artigos que contemplaram o objetivo desta pesquisa, atendendo aos critérios de inclusão. Todos foram publicados no ano de 2020, havendo predominância de pesquisas realizadas nos Estados Unidos (35,13%, N=13), seguido da Inglaterra (10,81%, N=4) e Itália (10,81%, N=4). A maioria das pesquisas é de natureza teórica (59,45%, N=22). Dentre os estudos empíricos (40,55%, N=15), 12 utilizaram de metodologia quantitativa para atingir os objetivos propostos pelas pesquisas. Referente aos instrumentos de coleta de dados, observou-se que, dentre os 15 estudos empíricos, a maioria (N=8) utilizou o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Maslach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Burnout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Inventory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(MBI) para mensuração da Síndrome de Burnout, adaptado conforme amostra.</w:t>
      </w:r>
    </w:p>
    <w:p w14:paraId="00000020" w14:textId="45E6CD2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Em relação aos profissionais de saúde investigados, observou-se quantidade semelhante de pesquisas que exploram o contexto de médicos (40,54%, N=15) e de profissionais da área da saúde de modo geral (40,54%, N=15), não especificando a ocupação laboral e apenas retratando a situação desses trabalhadores no contexto pandêmico. Enfermeiros foram foco de estudo em 10,81% </w:t>
      </w:r>
      <w:r w:rsidR="003F6F19" w:rsidRPr="009C5F1C">
        <w:rPr>
          <w:rFonts w:ascii="Times New Roman" w:eastAsia="Times New Roman" w:hAnsi="Times New Roman" w:cs="Times New Roman"/>
          <w:sz w:val="24"/>
          <w:szCs w:val="24"/>
        </w:rPr>
        <w:t xml:space="preserve">dos trabalhos científicos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(N=4) e enfermeiros e médicos em 8,11% (N=3).</w:t>
      </w:r>
    </w:p>
    <w:p w14:paraId="00000021" w14:textId="71AF92B1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maior parte dos artigos apresentou estratégias de enfrentamento para o contexto pandêmico e prevenção da Síndrome de Burnout (62,16%, N=23), sendo que todos apresentaram estratégias a nível organizacional para tornar o ambiente de trabalho mais saudável. Por fim, realizou-se a análise de conteúdo a partir da leitura dos artigos elencados para esta pesquisa, trazendo 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s categorias relevantes: 1) Impactos da COVID-19 no desencadeamento da Síndrome de Burnout em profissionais de saúde: relacionando os fatores que colaboram para a maior incidência da síndrome; 2) Estratégias de enfrentamento a nível individual e organizacional: abordando aspectos relacionados a práticas diárias de saúde mental no âmbito individual, bem como adaptação da organização para fornecimento de maior bem-estar, seja através de programas, treinamentos, medidas de proteção ou modificações estruturais.</w:t>
      </w:r>
    </w:p>
    <w:p w14:paraId="00000022" w14:textId="77777777" w:rsidR="006D3882" w:rsidRPr="009C5F1C" w:rsidRDefault="006D3882" w:rsidP="009C5F1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6FD9D428" w:rsidR="006D3882" w:rsidRPr="00C21326" w:rsidRDefault="00FE4BAA" w:rsidP="00C21326">
      <w:pPr>
        <w:spacing w:line="48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Impactos da COVID-19 no desencadeamento da Síndrome de Burnout em profissionais de saúde</w:t>
      </w:r>
    </w:p>
    <w:p w14:paraId="00000026" w14:textId="7068A8EB" w:rsidR="006D3882" w:rsidRPr="009C5F1C" w:rsidRDefault="00FE4BAA" w:rsidP="003F6F19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Ambientes de cuidados com a saúde são muitas vezes retratados como geradores de pressão, estresse e inseguranças, o que fez com que se tornassem alvos de cada vez mais pesquisas relacionadas à temática da saúde mental. A partir da análise foi possível identificar que a falta de adequados equipamentos de proteção individual (EPIs) consiste em um fator colaborador para emergência da síndrome independentemente da ocupação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Jones,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Masud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Vahidy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Kash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2020; Sultana, Sharma,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Hossain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Bhattacharya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Purohit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2020). Ademais, problemas relacionados ao uso de EPIs também foram relatados como fatores que corroboram para o Burnout em médicos e enfermeiros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Balasubramanian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Paleri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Bennet, </w:t>
      </w:r>
      <w:r w:rsidR="008E3232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Paleri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Hu et al., 2020), podendo exemplificar o uso por prolongadas horas e o calor produzido pelos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EPIs, além de estipular que quanto mais graves as lesões de pele decorrentes da utilização desses equipamentos, maiores os níveis da síndrome (Hu et al., 2020).</w:t>
      </w:r>
    </w:p>
    <w:p w14:paraId="00000027" w14:textId="550C2EE9" w:rsidR="006D3882" w:rsidRPr="009C5F1C" w:rsidRDefault="00FE4BAA" w:rsidP="004F3031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Observou-se que mudanças na organização do trabalho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Zerbini,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Ebigbo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Reicherts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Kunz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Messman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2020), como alterações em turnos, horários e técnicas de vestir e remover equipamentos de proteção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2020); </w:t>
      </w:r>
      <w:r w:rsidR="003F6F1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orientações desatualizadas, repassadas de maneira complexa e/ou incoerentes</w:t>
      </w:r>
      <w:r w:rsidR="004F3031" w:rsidRPr="004F3031">
        <w:t xml:space="preserve"> </w:t>
      </w:r>
      <w:r w:rsidR="004F3031" w:rsidRPr="004F3031">
        <w:rPr>
          <w:rFonts w:ascii="Times New Roman" w:eastAsia="Times New Roman" w:hAnsi="Times New Roman" w:cs="Times New Roman"/>
          <w:sz w:val="24"/>
          <w:szCs w:val="24"/>
        </w:rPr>
        <w:t>surgiram como mais componentes desencadeadores da Síndrome de Burnout, não</w:t>
      </w:r>
      <w:r w:rsidR="004F3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031" w:rsidRPr="004F3031">
        <w:rPr>
          <w:rFonts w:ascii="Times New Roman" w:eastAsia="Times New Roman" w:hAnsi="Times New Roman" w:cs="Times New Roman"/>
          <w:sz w:val="24"/>
          <w:szCs w:val="24"/>
        </w:rPr>
        <w:t>sendo restritas a nenhuma ocupação específica da saúde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Morgantini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 A falta de acesso a testes para o vírus foi identificada como um fator colaborador para a incidência do quadro em médicos e profissionais trabalhando em UTIs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 w:rsidR="003F6F19">
        <w:rPr>
          <w:rFonts w:ascii="Times New Roman" w:eastAsia="Times New Roman" w:hAnsi="Times New Roman" w:cs="Times New Roman"/>
          <w:sz w:val="24"/>
          <w:szCs w:val="24"/>
        </w:rPr>
        <w:t>Além disso,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a alta carga de trabalho foi retratada como um condicionante para o quadro em profissionais de saúde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apresentada conjuntamente com a sensação de serem pressionados para além do treinamento que possuem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Morgantini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00000028" w14:textId="684A69E4" w:rsidR="006D3882" w:rsidRPr="009C5F1C" w:rsidRDefault="00FE4BAA" w:rsidP="009C5F1C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Altos índices de estresse foram relacionados às circunstâncias de tomadas de decisão referentes à priorização de vida ou morte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Morgantini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 e quadros de exaustão emocional foram retratados em relação à participação em processos de tomada de decisão nos quais, mediante a realidade vigente, o paciente não pode participar e não há certeza se o cuidado prestado de fato atende às condições da doença, ambas situações emergindo como fatores colaboradores para </w:t>
      </w:r>
      <w:r w:rsidR="004A0FB8">
        <w:rPr>
          <w:rFonts w:ascii="Times New Roman" w:eastAsia="Times New Roman" w:hAnsi="Times New Roman" w:cs="Times New Roman"/>
          <w:sz w:val="24"/>
          <w:szCs w:val="24"/>
        </w:rPr>
        <w:t>a síndrome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em profissionais da área (Sultana et al., 2020). </w:t>
      </w:r>
    </w:p>
    <w:p w14:paraId="00000029" w14:textId="21F5EA91" w:rsidR="006D3882" w:rsidRPr="009C5F1C" w:rsidRDefault="00FE4BAA" w:rsidP="009C5F1C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Durante a análise dos artigos selecionados foi possível identificar condicionantes relativos às demandas domésticas, como a impossibilidade de desempenhar atividades da casa em decorrência do trabalho e maiores exigências devido ao fechamento das escolas e creches paralelamente a eventuais aumentos das horas trabalhadas (Bradley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2020). Além disso, apoio social e familiar, componentes vitais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resiliência ao Burnout, tornam-se escassos uma vez que os profissionais hesitam relacionar-se pelo risco da transmissão do vírus para seus entes queridos (Bradley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2020), então, introduzindo o presente medo de infectá-los como mais um fator que colabora para a incidência da síndrome, além do sentimento de isolamento decorrente desse cenário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Balasubramanian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2020).</w:t>
      </w:r>
    </w:p>
    <w:p w14:paraId="0000002A" w14:textId="77777777" w:rsidR="006D3882" w:rsidRPr="009C5F1C" w:rsidRDefault="00FE4BAA" w:rsidP="009C5F1C">
      <w:pPr>
        <w:spacing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O medo de infectar-se também surgiu como colaborador à incidência do Burnout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Balasubramanian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relacionando-se positivamente com altos níveis de exaustão (Zerbini et al., 2020) e associando-se a inseguranças quanto ao apoio organizacional e se suas necessidades serão atendidas caso isso ocorra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2020). O contato constante com pacientes com COVID-19 também foi relatado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relacionando-se com o maior índice de Burnout em residentes quando em comparação com médicos plantonistas, uma vez que desempenham um papel de interface de comunicação entre o paciente e o plantonista, passando mais horas em contato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Civantos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0000002B" w14:textId="77777777" w:rsidR="006D3882" w:rsidRPr="009C5F1C" w:rsidRDefault="006D3882" w:rsidP="009C5F1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0000003C" w14:textId="169C2DE4" w:rsidR="006D3882" w:rsidRPr="00C21326" w:rsidRDefault="00FE4BAA" w:rsidP="00C21326">
      <w:pPr>
        <w:spacing w:line="48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Estratégias de enfrentamento a nível individual e organizacional</w:t>
      </w:r>
    </w:p>
    <w:p w14:paraId="00000040" w14:textId="41AE09EF" w:rsidR="006D3882" w:rsidRPr="009C5F1C" w:rsidRDefault="00FE4BAA" w:rsidP="0067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Grande parcela dos trabalhos revisados sugeriu a implementação de </w:t>
      </w:r>
      <w:r w:rsidR="001F62C9" w:rsidRPr="001F62C9">
        <w:rPr>
          <w:rFonts w:ascii="Times New Roman" w:eastAsia="Times New Roman" w:hAnsi="Times New Roman" w:cs="Times New Roman"/>
          <w:color w:val="FF0000"/>
          <w:sz w:val="24"/>
          <w:szCs w:val="24"/>
        </w:rPr>
        <w:t>micro práticas</w:t>
      </w:r>
      <w:r w:rsidRPr="001F62C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diárias de prevenção ao burnout e aumento do bem-estar para médicos e enfermeiros, os quais possuem pouco tempo disponível, sendo relevantes as estratégias rápidas e de simples inclusão na rotina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Fessell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Cherniss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2020). Dentre a categoria supracitada, a principal prática sugerida e aplicada foram as sessões de </w:t>
      </w:r>
      <w:proofErr w:type="spellStart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Mindfulness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que ocorreriam diária ou semanalmente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Balasubramanian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Fessell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Cherniss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Ong, 2020; Sultana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Uphadhyay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2020).</w:t>
      </w:r>
      <w:r w:rsidR="00673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Estratégias referentes à comunicação também foram significativamente defendidas, como sua constância e responsividade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2020), a clareza quanto à mudanças de protocolos relacionados à COVID-19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Stephens</w:t>
      </w:r>
      <w:proofErr w:type="spellEnd"/>
      <w:r w:rsidR="00791E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1EAE" w:rsidRPr="009C5F1C">
        <w:rPr>
          <w:rFonts w:ascii="Times New Roman" w:eastAsia="Times New Roman" w:hAnsi="Times New Roman" w:cs="Times New Roman"/>
          <w:sz w:val="24"/>
          <w:szCs w:val="24"/>
        </w:rPr>
        <w:t>Dearani</w:t>
      </w:r>
      <w:proofErr w:type="spellEnd"/>
      <w:r w:rsidR="00791EAE" w:rsidRPr="009C5F1C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="00791EAE" w:rsidRPr="009C5F1C">
        <w:rPr>
          <w:rFonts w:ascii="Times New Roman" w:eastAsia="Times New Roman" w:hAnsi="Times New Roman" w:cs="Times New Roman"/>
          <w:sz w:val="24"/>
          <w:szCs w:val="24"/>
        </w:rPr>
        <w:t>Guleserian</w:t>
      </w:r>
      <w:proofErr w:type="spellEnd"/>
      <w:r w:rsidR="00791EAE"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2020), reuniões frequentes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Ramaci</w:t>
      </w:r>
      <w:proofErr w:type="spellEnd"/>
      <w:r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Barattucci</w:t>
      </w:r>
      <w:proofErr w:type="spellEnd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Ledda</w:t>
      </w:r>
      <w:proofErr w:type="spellEnd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, &amp;</w:t>
      </w:r>
      <w:r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Rapisarda</w:t>
      </w:r>
      <w:proofErr w:type="spellEnd"/>
      <w:r w:rsidR="00F22D35"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F22D35">
        <w:rPr>
          <w:rFonts w:ascii="Times New Roman" w:eastAsia="Times New Roman" w:hAnsi="Times New Roman" w:cs="Times New Roman"/>
          <w:color w:val="FF0000"/>
          <w:sz w:val="24"/>
          <w:szCs w:val="24"/>
        </w:rPr>
        <w:t>2020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Stephens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 maiores oportunidades de escuta aos trabalhadores (Foster, 2020) e canal aberto de comunicação com a direção (Ong, 2020), além da manutenção de informações atualizadas e de qualidade sobre os cuidados de pacientes diagnosticados com o vírus (Bradley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2020).</w:t>
      </w:r>
    </w:p>
    <w:p w14:paraId="00000041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 quantidade de horas de trabalho foi discutida independentemente da ocupação, mas com protagonismo dos médicos, assim, estabelecendo a necessidade da regulação das horas trabalhadas e designação de tempo fora do ambiente de trabalho (Bradley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Fessell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Cherniss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Uphadhyay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2020). Ademais, o agendamento de pausas, a criação de áreas de descanso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 e o planejamento do trabalho incluindo turnos razoáveis e registros foram também relatados (Wilson et al., 2020).</w:t>
      </w:r>
    </w:p>
    <w:p w14:paraId="00000042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O apoio social foi mais uma temática abordada na discussão de possíveis intervenções, havendo predominância do suporte de pares e, em especial, a implementação de programas denominados </w:t>
      </w:r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Battle</w:t>
      </w:r>
      <w:proofErr w:type="spellEnd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Buddies</w:t>
      </w:r>
      <w:proofErr w:type="spellEnd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Albott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Leones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Berba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Jr., &amp; Sandoval-Tan, 2020), ou seja, o pareamento de profissionais baseado em similaridades de perspectivas, experiências de vida e exposição a estressores, iniciando conversas diárias que podem culminar em um senso de conexão, validação, apoio, confiança e </w:t>
      </w:r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feedback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útil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Albott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 Além disso, o programa torna-se uma maneira de observar a manifestação de ansiedade ou demais quadros, então, podendo encaminhar a um profissional qualificado quando necessário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Albott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00000043" w14:textId="53046FDF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 maior e mais frequente oferta de treinamento de habilidades clínicas para lidar com a COVID-19 e para possíveis situações traumáticas foi apontada como uma alternativa para prevenir desfechos como a Síndrome de Burnout e demais quadros consequentes ao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impacto à saúde mental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Morgantini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Ramaci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 w:rsidR="004E5DEE">
        <w:rPr>
          <w:rFonts w:ascii="Times New Roman" w:eastAsia="Times New Roman" w:hAnsi="Times New Roman" w:cs="Times New Roman"/>
          <w:sz w:val="24"/>
          <w:szCs w:val="24"/>
        </w:rPr>
        <w:t>Por fim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durante a revisão a garantia e uso adequado de EPIs também mostrou ser uma estratégia de enfrentamento (Bradley &amp;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Chahar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Dimitriu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Morgantini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Preti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Stephens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00000044" w14:textId="21A173EB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A certificação de que o profissional tem suas necessidades básicas atendidas, como hidratação, sono e atividade física, demonstrou significância durante a pesquisa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Wilson et al., 2020), surgindo estratégias a nível individual, tal qual o monitoramento e atenção ao próprio corpo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Uphadhyay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>, 2020), e organizacional, como as estações de exercício físico nas instituições (Wilson et al., 2020). Nessa perspectiva, a observação da saúde mental do trabalhador foi também discutida pontuando a introdução de métodos de avaliação de exaustão e Burnout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de uma linha direta de apoio disponível 24 horas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Chua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2020; Ong, 2020;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Preti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2020), práticas de autocuidado (Sultana et al., 2020),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psicoeducação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sobre sintomas e seus respectivos direcionamentos, uso seletivo das mídias sociais, limitando o acesso a </w:t>
      </w:r>
      <w:r w:rsidR="004E5DEE" w:rsidRPr="009C5F1C">
        <w:rPr>
          <w:rFonts w:ascii="Times New Roman" w:eastAsia="Times New Roman" w:hAnsi="Times New Roman" w:cs="Times New Roman"/>
          <w:sz w:val="24"/>
          <w:szCs w:val="24"/>
        </w:rPr>
        <w:t>conteúdo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sobre a pandemia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Restauri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&amp; Sheridan, 2020; Wilson et al., 2020) e conexão ao mundo fora da instituição de saúde (Wilson et al., 2020).</w:t>
      </w:r>
    </w:p>
    <w:p w14:paraId="00000045" w14:textId="78F5AE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Observou-se o suporte dos Recursos Humanos (RH) das instituições como mais um ponto estratégico de enfrentamento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Ramaci</w:t>
      </w:r>
      <w:proofErr w:type="spellEnd"/>
      <w:r w:rsidR="00F22D35">
        <w:rPr>
          <w:rFonts w:ascii="Times New Roman" w:eastAsia="Times New Roman" w:hAnsi="Times New Roman" w:cs="Times New Roman"/>
          <w:sz w:val="24"/>
          <w:szCs w:val="24"/>
        </w:rPr>
        <w:t xml:space="preserve"> et al.,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2020), adaptando-se às necessidades dos funcionários diante do atípico cenário vigente, por exemplo, ao oferecer alternativas para pagamentos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Sasangohar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 ou realizar um planejamento oficial e extraoficial de remuneração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 Por fim, a psicoterapia foi também uma alternativa sugerida, em especial a </w:t>
      </w:r>
      <w:r w:rsidR="004E5DE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erapia </w:t>
      </w:r>
      <w:r w:rsidR="004E5D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ognitivo-</w:t>
      </w:r>
      <w:r w:rsidR="004E5D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omportamental para quadros de </w:t>
      </w:r>
      <w:r w:rsidR="001F62C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urnout (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Giusti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00000048" w14:textId="77777777" w:rsidR="006D3882" w:rsidRPr="006735F7" w:rsidRDefault="00FE4BAA" w:rsidP="009C5F1C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35F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0000049" w14:textId="3A826BDD" w:rsidR="006D3882" w:rsidRPr="00C21326" w:rsidRDefault="00FE4BAA" w:rsidP="009C5F1C">
      <w:pPr>
        <w:spacing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Discussão</w:t>
      </w:r>
    </w:p>
    <w:p w14:paraId="0000004A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O objetivo desta pesquisa foi investigar os impactos da pandemia referente ao vírus Sars-Cov-2 na saúde mental de profissionais de saúde que continuaram trabalhando durante esse período, verificando especificamente a incidência da Síndrome de Burnout nesta amostra. Os resultados indicaram que o desenvolvimento da Síndrome de Burnout está presente em profissionais de saúde na atualidade, bem como existem possíveis estratégias de enfrentamento para diminuição do sofrimento mental.</w:t>
      </w:r>
    </w:p>
    <w:p w14:paraId="0000004B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A análise permitiu observar que, em relação aos condicionantes atuais para a Síndrome de Burnout em profissionais de saúde, elementos cotidianos próprios da prática desses trabalhadores ganham novo protagonismo, identificando o impacto da falta ou inadequação de EPIs, incoerência, complexidade ou desatualização de protocolos e falta de acesso a testes laboratoriais. Além disso, processos de tomadas de decisão surgem em maior complexidade frente às demandas respectivas à pandemia, que incluem a incerteza quanto a manifestação do novo vírus, a dimensão do contágio e, portanto, a relevância de uma responsável alocação de recursos.</w:t>
      </w:r>
    </w:p>
    <w:p w14:paraId="0000004E" w14:textId="67824E08" w:rsidR="006D3882" w:rsidRPr="009C5F1C" w:rsidRDefault="00FE4BAA" w:rsidP="00F4739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De modo geral,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ganham espaço as estratégias de enfrentamento relativas à maior e mais frequente oferta de treinamento, tanto para habilidades clínicas relacionadas ao vírus quanto para possíveis situações traumáticas.</w:t>
      </w:r>
      <w:r w:rsidR="00F47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 alta carga de trabalho também </w:t>
      </w:r>
      <w:r w:rsidR="004E5DEE" w:rsidRPr="009C5F1C">
        <w:rPr>
          <w:rFonts w:ascii="Times New Roman" w:eastAsia="Times New Roman" w:hAnsi="Times New Roman" w:cs="Times New Roman"/>
          <w:sz w:val="24"/>
          <w:szCs w:val="24"/>
        </w:rPr>
        <w:t>se torna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problemática quando relacionada aos condicionantes de estresse e ansiedade cotidianos, especialmente para médicos, tornando-se relevantes as intervenções direcionadas a regulação das horas trabalhadas, agendamento de pausas e designação de tempo fora do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374854427"/>
        </w:sdtPr>
        <w:sdtEndPr/>
        <w:sdtContent/>
      </w:sdt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ambiente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1846386785"/>
        </w:sdtPr>
        <w:sdtEndPr/>
        <w:sdtContent/>
      </w:sdt>
      <w:r w:rsidRPr="009C5F1C">
        <w:rPr>
          <w:rFonts w:ascii="Times New Roman" w:eastAsia="Times New Roman" w:hAnsi="Times New Roman" w:cs="Times New Roman"/>
          <w:sz w:val="24"/>
          <w:szCs w:val="24"/>
        </w:rPr>
        <w:t>laboral</w:t>
      </w:r>
      <w:r w:rsidR="000A14D4" w:rsidRPr="00F47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0" w14:textId="1C7A2ABD" w:rsidR="006D3882" w:rsidRPr="009C5F1C" w:rsidRDefault="00FE4BAA" w:rsidP="00A25E5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O medo de infectar entes queridos, além de limitar o apoio social e familiar, que são fatores vitais para resiliência ao Burnout, demonstrou ser mais um condicionante da síndrome, juntamente com o sentimento de isolamento decorrente desse cenário. O temor por contaminar-se também apareceu de maneira significativa, relacionando-se com altos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>níveis de exaustão e inseguranças quanto ao apoio organizacional caso os profissionais de fato fossem diagnosticados com o vírus.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Diante do exposto, intervenções que abrangem o apoio social tornam-se relevantes, adquirem importância para prevenção e encaminhamento mais preciso de quadros como Burnout, ansiedade e depressão.</w:t>
      </w:r>
    </w:p>
    <w:p w14:paraId="00000051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Os resultados encontrados nesse estudo se alinham com os de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Sunjaya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Herawati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Siregar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(2020), os quais concluíram que profissionais de saúde com contato direto e responsabilidade no tratamento de pacientes com COVID-19 apresentaram maior risco para sintomas da Síndrome de Burnout e depressão, além de ressaltar que a comunicação com pares e estabelecimento de contato com a família precisa ser encorajada.</w:t>
      </w:r>
    </w:p>
    <w:p w14:paraId="00000053" w14:textId="0D127922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 introdução de </w:t>
      </w:r>
      <w:r w:rsidR="00CC511C" w:rsidRPr="00CC511C">
        <w:rPr>
          <w:rFonts w:ascii="Times New Roman" w:eastAsia="Times New Roman" w:hAnsi="Times New Roman" w:cs="Times New Roman"/>
          <w:color w:val="FF0000"/>
          <w:sz w:val="24"/>
          <w:szCs w:val="24"/>
        </w:rPr>
        <w:t>micro práticas</w:t>
      </w:r>
      <w:r w:rsidRPr="00CC51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diárias para prevenção do Burnout e aumento do bem-estar foi uma estratégia inúmeras vezes relatada 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>nos estudos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 que pode ser de grande valia diante da pouca disposição de tempo 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>dos profissionais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. Dessa forma,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é citada a importância de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sessões de </w:t>
      </w:r>
      <w:proofErr w:type="spellStart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Mindfulness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ou práticas dessa categoria 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nas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atividades já presentes na jornada do profissional, 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>que condiz com estudo anterior à esta revisão no qual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Braun,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Auerbach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Rybarczyk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, Lee e </w:t>
      </w:r>
      <w:proofErr w:type="spellStart"/>
      <w:r w:rsidRPr="009C5F1C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(2017) retratam práticas de </w:t>
      </w:r>
      <w:proofErr w:type="spellStart"/>
      <w:r w:rsidRPr="009C5F1C">
        <w:rPr>
          <w:rFonts w:ascii="Times New Roman" w:eastAsia="Times New Roman" w:hAnsi="Times New Roman" w:cs="Times New Roman"/>
          <w:i/>
          <w:sz w:val="24"/>
          <w:szCs w:val="24"/>
        </w:rPr>
        <w:t>Mindfulness</w:t>
      </w:r>
      <w:proofErr w:type="spellEnd"/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como fator protetivo à Síndrome de Burnout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em médicos residentes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, trazendo reflexão a relevância dessa estratégia independentemente do contexto pandêmico.</w:t>
      </w:r>
    </w:p>
    <w:p w14:paraId="00000054" w14:textId="77777777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Durante a revisão também foi possível determinar que a certificação de que os profissionais têm suas necessidades básicas atendidas, como hidratação, sono e atividades físicas, demonstrou importância como estratégia para mitigar os impactos à saúde mental desses trabalhadores. Assim, intervenções individuais, como a atenção ao próprio corpo e suas demandas, e organizacionais, como por exemplo, a criação de áreas de descanso e estações de exercícios físicos dispostas na instituição, mostram-se bem-vindas e necessárias.</w:t>
      </w:r>
    </w:p>
    <w:p w14:paraId="00000055" w14:textId="127833D1" w:rsidR="006D3882" w:rsidRDefault="006735F7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>s resultados encontrados nesta revisão corroboram com outros estudos que indicam repercussões negativas da Síndrome de Burnout para o trabalhador e o paciente (</w:t>
      </w:r>
      <w:proofErr w:type="spellStart"/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>Bridgeman</w:t>
      </w:r>
      <w:proofErr w:type="spellEnd"/>
      <w:r w:rsidR="00FE4BAA" w:rsidRPr="009C5F1C">
        <w:rPr>
          <w:rFonts w:ascii="Times New Roman" w:eastAsia="Times New Roman" w:hAnsi="Times New Roman" w:cs="Times New Roman"/>
          <w:sz w:val="24"/>
          <w:szCs w:val="24"/>
        </w:rPr>
        <w:t xml:space="preserve"> et al., 2017), a importância do apoio organizacional na prevenção ao Burnout e da elaboração de estratégias de gestão para tornar o ambiente de trabalho mais saudável (Rodrigues, Santos, &amp; Sousa, 2017).</w:t>
      </w:r>
    </w:p>
    <w:p w14:paraId="20802072" w14:textId="6E696EBB" w:rsidR="004E5DEE" w:rsidRDefault="004E5DEE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C9FA69" w14:textId="3B557221" w:rsidR="004E5DEE" w:rsidRPr="00C21326" w:rsidRDefault="004E5DEE" w:rsidP="004E5DEE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Considerações Finais</w:t>
      </w:r>
    </w:p>
    <w:p w14:paraId="00000056" w14:textId="0CF88451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Esta pesquisa traz colaborações sobre saúde mental de profissionais de saúde no contexto pandêmico, estratégias de enfrentamento a nível individual e organizacional, bem como o uso recente de instrumentos de mensuração do Burnout. </w:t>
      </w:r>
      <w:r w:rsidRPr="00F47391">
        <w:rPr>
          <w:rFonts w:ascii="Times New Roman" w:eastAsia="Times New Roman" w:hAnsi="Times New Roman" w:cs="Times New Roman"/>
          <w:sz w:val="24"/>
          <w:szCs w:val="24"/>
        </w:rPr>
        <w:t>Além disso,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possibilita o contato com estudos 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>atuais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sobre a temática, constituindo conteúdo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pertinente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e aprofundado que pode subsidiar outros trabalhos da área.  </w:t>
      </w:r>
    </w:p>
    <w:p w14:paraId="00000057" w14:textId="64BDDBD5" w:rsidR="006D3882" w:rsidRPr="009C5F1C" w:rsidRDefault="00FE4BAA" w:rsidP="009C5F1C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>Contudo, é necessário apresentar as limitações deste estudo que envolvem a pandemia ainda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estar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 vigente</w:t>
      </w:r>
      <w:r w:rsidR="00A25E5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de não abarcar outros idiomas além do inglês e português. </w:t>
      </w:r>
      <w:r w:rsidR="00A25E51" w:rsidRPr="009C5F1C">
        <w:rPr>
          <w:rFonts w:ascii="Times New Roman" w:eastAsia="Times New Roman" w:hAnsi="Times New Roman" w:cs="Times New Roman"/>
          <w:sz w:val="24"/>
          <w:szCs w:val="24"/>
        </w:rPr>
        <w:t>Ademais, observa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t>-se a importância de desenvolver outros trabalhos sobre o tema, como a investigação mais aprofundada de resultados da implementação de intervenções, mais estudos empíricos sobre profissionais de outras áreas além da enfermagem e da medicina e trabalhos relativos à prevalência da Síndrome de Burnout nesses trabalhadores após a pandemia.</w:t>
      </w:r>
    </w:p>
    <w:p w14:paraId="2522C79F" w14:textId="577E0EDD" w:rsidR="00C46686" w:rsidRDefault="00FE4BAA" w:rsidP="000C0AD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5F1C">
        <w:rPr>
          <w:rFonts w:ascii="Times New Roman" w:eastAsia="Times New Roman" w:hAnsi="Times New Roman" w:cs="Times New Roman"/>
          <w:sz w:val="24"/>
          <w:szCs w:val="24"/>
        </w:rPr>
        <w:t xml:space="preserve">Por fim, ressalta-se a relevância de ações organizacionais no contexto supracitado, bem como a importância de futuros estudos que investiguem a temática no contexto brasileiro, visto que não houve pesquisa até o momento que realizasse essa avaliação. A adaptação das políticas do RH às demandas dos profissionais frente ao cenário vigente também se provou necessária, uma vez que o contexto exige diferentes medidas no decorrer do tempo. Diante disso, estratégias organizacionais abordando melhorias na comunicação, </w:t>
      </w:r>
      <w:r w:rsidRPr="009C5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como o desenvolvimento de sua clareza, presença de informações atualizadas, mais oportunidades de escuta dos trabalhadores e maior frequência de reuniões, devem ser analisadas e possivelmente implementadas.  </w:t>
      </w:r>
    </w:p>
    <w:p w14:paraId="1A0D27C1" w14:textId="77777777" w:rsidR="00876F1C" w:rsidRDefault="00876F1C" w:rsidP="000C0ADA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6724839" w14:textId="318A588B" w:rsidR="00C46686" w:rsidRPr="00C21326" w:rsidRDefault="00C46686" w:rsidP="00C46686">
      <w:pPr>
        <w:spacing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213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Referências</w:t>
      </w:r>
    </w:p>
    <w:p w14:paraId="34CF390B" w14:textId="36A0A246" w:rsidR="00DC0B2E" w:rsidRPr="000A14D4" w:rsidRDefault="00DC0B2E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 xml:space="preserve">Aguiar, C. V. N., Silva, E. E. da C., De Carvalho, B. R., Ferreira, J. C. M., &amp; De Jesus, K. C. O. (2017). Cultura organizacional e adoecimento no trabalho: uma revisão sobre as relações entre cultura, burnout e estresse organizacional. </w:t>
      </w:r>
      <w:r w:rsidRPr="000A14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Revista Psicologia, Diversidade e Saúde, 6</w:t>
      </w:r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121-131. </w:t>
      </w:r>
      <w:proofErr w:type="spellStart"/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>doi</w:t>
      </w:r>
      <w:proofErr w:type="spellEnd"/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>: 10.17267/2317-3394rpds.v6i2.1157</w:t>
      </w:r>
    </w:p>
    <w:p w14:paraId="4B7E2581" w14:textId="7D16CC8F" w:rsidR="00C40728" w:rsidRPr="000A14D4" w:rsidRDefault="00C40728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E8D">
        <w:rPr>
          <w:rFonts w:ascii="Times New Roman" w:eastAsia="Times New Roman" w:hAnsi="Times New Roman" w:cs="Times New Roman"/>
          <w:bCs/>
          <w:sz w:val="24"/>
          <w:szCs w:val="24"/>
        </w:rPr>
        <w:t xml:space="preserve">Albott, C. S., Wozniak, J. R., McGlinch, B. P., Wall, M. H., Gold, B. S., &amp; Vinogradov, S. (2020). </w:t>
      </w:r>
      <w:r w:rsidRPr="000A14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Battle Buddies: Rapid Deployment of a Psychological Resilience Intervention for Health Care Workers During the COVID-19 Pandemic. </w:t>
      </w:r>
      <w:proofErr w:type="spellStart"/>
      <w:r w:rsidRPr="000A14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Anesthesia</w:t>
      </w:r>
      <w:proofErr w:type="spellEnd"/>
      <w:r w:rsidRPr="000A14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&amp; Analgesia, 131</w:t>
      </w:r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 xml:space="preserve"> (1), 43-54. </w:t>
      </w:r>
      <w:proofErr w:type="spellStart"/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>doi</w:t>
      </w:r>
      <w:proofErr w:type="spellEnd"/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>: 10.1213/ANE.0000000000004912</w:t>
      </w:r>
    </w:p>
    <w:p w14:paraId="64837B64" w14:textId="163E9629" w:rsidR="00E71E40" w:rsidRPr="00840E8D" w:rsidRDefault="00E71E40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40E8D">
        <w:rPr>
          <w:rFonts w:ascii="Times New Roman" w:eastAsia="Times New Roman" w:hAnsi="Times New Roman" w:cs="Times New Roman"/>
          <w:bCs/>
          <w:sz w:val="24"/>
          <w:szCs w:val="24"/>
        </w:rPr>
        <w:t xml:space="preserve">Balasubramanian, A., Paleri, V., Bennett, R., &amp; Paleri, V. (2020). </w:t>
      </w:r>
      <w:r w:rsidRPr="000A14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Impact of COVID-19 on the mental health of surgeons and coping strategies. </w:t>
      </w:r>
      <w:r w:rsidRPr="00840E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Head and Neck, 42</w:t>
      </w:r>
      <w:r w:rsidRPr="00840E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(7), 1638-1644. doi: 10.1002/hed.26291</w:t>
      </w:r>
    </w:p>
    <w:p w14:paraId="0CCC3CA2" w14:textId="3F2F250B" w:rsidR="00DC0B2E" w:rsidRDefault="00DC0B2E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E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Bardin, L. (2011). </w:t>
      </w:r>
      <w:r w:rsidRPr="00840E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Análise de conteúdo</w:t>
      </w:r>
      <w:r w:rsidRPr="00840E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A14D4">
        <w:rPr>
          <w:rFonts w:ascii="Times New Roman" w:eastAsia="Times New Roman" w:hAnsi="Times New Roman" w:cs="Times New Roman"/>
          <w:bCs/>
          <w:sz w:val="24"/>
          <w:szCs w:val="24"/>
        </w:rPr>
        <w:t>Lisboa: Edições 70.</w:t>
      </w:r>
    </w:p>
    <w:p w14:paraId="0EACF3B0" w14:textId="416B077C" w:rsidR="00D94083" w:rsidRPr="00F62129" w:rsidRDefault="00D94083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>Barello</w:t>
      </w:r>
      <w:proofErr w:type="spellEnd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 xml:space="preserve">, S., </w:t>
      </w:r>
      <w:proofErr w:type="spellStart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>Palamenghi</w:t>
      </w:r>
      <w:proofErr w:type="spellEnd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 xml:space="preserve">, L., &amp; </w:t>
      </w:r>
      <w:proofErr w:type="spellStart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>Graffigna</w:t>
      </w:r>
      <w:proofErr w:type="spellEnd"/>
      <w:r w:rsidRPr="00D94083">
        <w:rPr>
          <w:rFonts w:ascii="Times New Roman" w:eastAsia="Times New Roman" w:hAnsi="Times New Roman" w:cs="Times New Roman"/>
          <w:bCs/>
          <w:sz w:val="24"/>
          <w:szCs w:val="24"/>
        </w:rPr>
        <w:t xml:space="preserve">, G. (2020). </w:t>
      </w:r>
      <w:r w:rsidRPr="00D9408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Burnout and somatic symptoms among frontline healthcare professionals at the peak of Italian COVID-19 pandemic. </w:t>
      </w:r>
      <w:r w:rsidRPr="00F621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Psychiatry Research, 290</w:t>
      </w:r>
      <w:r w:rsidRPr="00F621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621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r w:rsidRPr="00F621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10.1016/j.psychres.2020.113129</w:t>
      </w:r>
    </w:p>
    <w:p w14:paraId="15B5F2D4" w14:textId="237F92E2" w:rsidR="00E71E40" w:rsidRPr="00840E8D" w:rsidRDefault="00E71E40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A14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Bradley, M., &amp; </w:t>
      </w:r>
      <w:proofErr w:type="spellStart"/>
      <w:r w:rsidRPr="000A14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Chahar</w:t>
      </w:r>
      <w:proofErr w:type="spellEnd"/>
      <w:r w:rsidRPr="000A14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P. (2020). Burnout of healthcare providers during COVID-19. </w:t>
      </w:r>
      <w:r w:rsidRPr="00840E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Cleveland Clinic Journal of Medicine</w:t>
      </w:r>
      <w:r w:rsidRPr="00840E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doi: 10.3949/ccjm.87a.ccc051</w:t>
      </w:r>
    </w:p>
    <w:p w14:paraId="123EB9F8" w14:textId="171DF429" w:rsidR="00DC0B2E" w:rsidRPr="00CB5880" w:rsidRDefault="00DC0B2E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40E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Braun, A. C., Vierheller, B., &amp; Oliveira, M. Z. (2016). </w:t>
      </w:r>
      <w:r w:rsidRPr="000A14D4">
        <w:rPr>
          <w:rFonts w:ascii="Times New Roman" w:eastAsia="Times New Roman" w:hAnsi="Times New Roman" w:cs="Times New Roman"/>
          <w:sz w:val="24"/>
          <w:szCs w:val="24"/>
        </w:rPr>
        <w:t xml:space="preserve">Conflito trabalho-família em executivos: uma revisão sistemática de 2009 a 2014. </w:t>
      </w:r>
      <w:r w:rsidRPr="000A14D4">
        <w:rPr>
          <w:rFonts w:ascii="Times New Roman" w:eastAsia="Times New Roman" w:hAnsi="Times New Roman" w:cs="Times New Roman"/>
          <w:i/>
          <w:iCs/>
          <w:sz w:val="24"/>
          <w:szCs w:val="24"/>
        </w:rPr>
        <w:t>Revista Brasileira de Orientação Profissional, 17</w:t>
      </w:r>
      <w:r w:rsidRPr="000A14D4">
        <w:rPr>
          <w:rFonts w:ascii="Times New Roman" w:eastAsia="Times New Roman" w:hAnsi="Times New Roman" w:cs="Times New Roman"/>
          <w:sz w:val="24"/>
          <w:szCs w:val="24"/>
        </w:rPr>
        <w:t xml:space="preserve">(1), 19-30. </w:t>
      </w:r>
      <w:proofErr w:type="spellStart"/>
      <w:r w:rsidR="00033382" w:rsidRPr="00CB5880">
        <w:rPr>
          <w:rFonts w:ascii="Times New Roman" w:eastAsia="Times New Roman" w:hAnsi="Times New Roman" w:cs="Times New Roman"/>
          <w:color w:val="FF0000"/>
          <w:sz w:val="24"/>
          <w:szCs w:val="24"/>
        </w:rPr>
        <w:t>Retrieved</w:t>
      </w:r>
      <w:proofErr w:type="spellEnd"/>
      <w:r w:rsidR="00033382" w:rsidRPr="00CB58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3382" w:rsidRPr="00CB5880">
        <w:rPr>
          <w:rFonts w:ascii="Times New Roman" w:eastAsia="Times New Roman" w:hAnsi="Times New Roman" w:cs="Times New Roman"/>
          <w:color w:val="FF0000"/>
          <w:sz w:val="24"/>
          <w:szCs w:val="24"/>
        </w:rPr>
        <w:t>from</w:t>
      </w:r>
      <w:proofErr w:type="spellEnd"/>
      <w:r w:rsidR="00033382" w:rsidRPr="00CB588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Pr="00CB58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0A14D4" w:rsidRPr="00CB588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http://pepsic.bvsalud.org/scielo.php?script=sci_arttext&amp;pid=S1679-33902016000100004&amp;lng=pt&amp;tlng=pt</w:t>
        </w:r>
      </w:hyperlink>
      <w:r w:rsidRPr="00CB58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A557B" w14:textId="11B593D3" w:rsidR="000A14D4" w:rsidRPr="00840E8D" w:rsidRDefault="000A14D4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4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Braun, S. E., Auerbach, S. M., </w:t>
      </w:r>
      <w:proofErr w:type="spellStart"/>
      <w:r w:rsidRPr="000A14D4">
        <w:rPr>
          <w:rFonts w:ascii="Times New Roman" w:eastAsia="Times New Roman" w:hAnsi="Times New Roman" w:cs="Times New Roman"/>
          <w:sz w:val="24"/>
          <w:szCs w:val="24"/>
          <w:lang w:val="en-US"/>
        </w:rPr>
        <w:t>Rybarczyk</w:t>
      </w:r>
      <w:proofErr w:type="spellEnd"/>
      <w:r w:rsidRPr="000A14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Lee, B., &amp; Call, S. (2017). Mindfulness, burnout, and effects on performance evaluations in internal medicine residents. </w:t>
      </w:r>
      <w:r w:rsidRPr="00840E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Advances in Medical Education and Practice, 3 </w:t>
      </w:r>
      <w:r w:rsidRPr="00840E8D">
        <w:rPr>
          <w:rFonts w:ascii="Times New Roman" w:eastAsia="Times New Roman" w:hAnsi="Times New Roman" w:cs="Times New Roman"/>
          <w:sz w:val="24"/>
          <w:szCs w:val="24"/>
          <w:lang w:val="en-US"/>
        </w:rPr>
        <w:t>(8), 591-597. doi: 10.2147/AMEP.S140554</w:t>
      </w:r>
    </w:p>
    <w:p w14:paraId="0B710B88" w14:textId="29C9A95E" w:rsidR="00DC0B2E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Bridgeman, P. J., Bridgeman, M. B., &amp; Barone, J. (2017). Burnout syndrome among healthcare professionals.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American Journal of Health-System Pharmacy, 75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(3), 147–152. doi:10.2146/ajhp170460  </w:t>
      </w:r>
    </w:p>
    <w:p w14:paraId="3873391D" w14:textId="5837F752" w:rsidR="00816A47" w:rsidRPr="000A14D4" w:rsidRDefault="00816A47" w:rsidP="00816A47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Chua, W. L. T., Quah, L. J. J., Shen, Y., Zakaria, D., Wan, P. W., Tan, K., &amp; Wong, E. (2020). Emergency department ‘outbreak rostering’ to meet challenges of COVID-19.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Emergency Medicine Journal, 37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(7).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10.1136/emermed-2020-209614</w:t>
      </w:r>
    </w:p>
    <w:p w14:paraId="6207FEA1" w14:textId="01BB9365" w:rsidR="00E71E40" w:rsidRPr="000A14D4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Civantos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M., Byrnes, Y., Chang, C., Prasad, A.,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Chorath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K.,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Poonia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S. K., Jenks, C. M., Bur, A. M., &amp; Thakkar, P. (2020). Mental health among otolaryngology resident and attending physicians during the COVID-19 pandemic: National study.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Head and Neck, 42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(7).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10.1002/hed.26292</w:t>
      </w:r>
    </w:p>
    <w:p w14:paraId="0AD408DF" w14:textId="7A13505F" w:rsidR="00DC0B2E" w:rsidRPr="00840E8D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6821799"/>
      <w:r w:rsidRPr="008E32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 Paiva, L. C., </w:t>
      </w:r>
      <w:proofErr w:type="spellStart"/>
      <w:r w:rsidRPr="008E32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Canário</w:t>
      </w:r>
      <w:proofErr w:type="spellEnd"/>
      <w:r w:rsidRPr="008E32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C. G., China, E. L. C. de P., &amp; Gonçalves, A. K. (2017). </w:t>
      </w:r>
      <w:bookmarkEnd w:id="0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Burnout syndrome in health-care professionals in a university hospital. 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Clinics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72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</w:rPr>
        <w:t>(5), 305-309. doi: 10.6061/clinics/2017(05)08</w:t>
      </w:r>
    </w:p>
    <w:p w14:paraId="51FF5687" w14:textId="41DF7C7A" w:rsidR="00E71E40" w:rsidRPr="000A14D4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Dimitriu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C. T.,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Pantea-Stoian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Smaranda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C., Nica, A. A.,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Carap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C.,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Constantin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D.,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Davitoiu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M.,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Cirstoveanu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Bacalbasa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Bratu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G.,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Jacota-Alexe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Badiu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D.,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Smarandache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G.,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Socea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Burnout syndrome in Romanian medical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residentes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time of the COVID-19 pandemic.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Medical Hypotheses, 144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(109972).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10.1016/j.mehy.2020.109972</w:t>
      </w:r>
    </w:p>
    <w:p w14:paraId="35B71FD9" w14:textId="36CA0EF3" w:rsidR="00C40728" w:rsidRPr="000A14D4" w:rsidRDefault="00C40728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Fessell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Cherniss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C. (2020). Coronavirus Disease 2019 (COVID-19) and Beyond: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Micropractices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Burnout Prevention and Emotional Wellness.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American College of Radiology.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10.1016/j.jacr.2020.03.013</w:t>
      </w:r>
    </w:p>
    <w:p w14:paraId="036509CA" w14:textId="3B9A14EE" w:rsidR="00DC0B2E" w:rsidRPr="000A14D4" w:rsidRDefault="00DC0B2E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Freudenberger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H. J. (1974). Staff burn-out.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 Social Issues, 30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(1), 159-165.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10.1111/j.1540-</w:t>
      </w:r>
      <w:proofErr w:type="gram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4560.1974.tb</w:t>
      </w:r>
      <w:proofErr w:type="gram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00706.x</w:t>
      </w:r>
    </w:p>
    <w:p w14:paraId="2121C89A" w14:textId="47232E09" w:rsidR="00E71E40" w:rsidRPr="000A14D4" w:rsidRDefault="00E71E40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Giusti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M.,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Pedroli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, E., D’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Aniello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E.,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Badiale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S.,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Pietrabissa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Manna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Badiale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S., Riva, G.,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Castelnuovo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G., &amp; Molinari, E.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Psychological Impact of the COVID-19 Outbreak on Health Professionals: A Cross-Sectional Study.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Frontiers in Psychology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10.3389/fpsyg.2020.01684</w:t>
      </w:r>
    </w:p>
    <w:p w14:paraId="56353564" w14:textId="29655E25" w:rsidR="00DC0B2E" w:rsidRPr="000A14D4" w:rsidRDefault="00DC0B2E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Hall, L. H., Johnson, J., Watt, I.,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Tsipa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A., &amp; O’Connor, D. B. (2016). Healthcare Staff Wellbeing, Burnout, and Patient Safety: A Systematic Review.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PloS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One, 11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(7). doi:10.1371/journal. pone.0159015</w:t>
      </w:r>
    </w:p>
    <w:p w14:paraId="00D29F3B" w14:textId="2BA9FBEB" w:rsidR="00E71E40" w:rsidRPr="00840E8D" w:rsidRDefault="00E71E40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Hu, D., Kong, Y., Li, W., Han, Q., Zhang, X., Zhu, L. X., Wan, S. W., Liu, Z., Shen, Q., Yang, J., He, H., &amp; Zhu, J. (2020). Frontline nurses’ burnout, anxiety, depression, and fear statuses and their associated factors during the COVID-19 outbreak in Wuhan, China: A large-scale cross-sectional study. 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EClinicalMedicine, 24 (100424). doi: 10.1016/j.eclinm.2020.100424</w:t>
      </w:r>
    </w:p>
    <w:p w14:paraId="79DA1FBF" w14:textId="103F1483" w:rsidR="00D94083" w:rsidRPr="00840E8D" w:rsidRDefault="00D94083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Kelly, B. D. (2020). Covid-19 (Coronavirus): Challenges for Psychiatry.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The British Journal of Psychiatry, 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1–6.doi:10.1192/bjp.2020.86 </w:t>
      </w:r>
    </w:p>
    <w:p w14:paraId="74B9B839" w14:textId="656F8BED" w:rsidR="000A14D4" w:rsidRPr="00840E8D" w:rsidRDefault="000A14D4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Leones, L. M. B., Berba, C. M. P., Chua Jr., A. V., &amp; Sandoval -Tan, J.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Caring for the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carers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safeguarding oncologists’ mental health in the time of COVID-19.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Ecancer, 14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doi: 10.3332/ecancer.2020.1057</w:t>
      </w:r>
    </w:p>
    <w:p w14:paraId="524E2135" w14:textId="3C1B5D2F" w:rsidR="00DC0B2E" w:rsidRPr="000A14D4" w:rsidRDefault="00DC0B2E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Li, Q., Guan, X., Wu, P., Wang, X., Zhou, L., Tong, Y . . 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&amp; Feng, Z. (2020). Early Transmission Dynamics in Wuhan, China, of Novel Coronavirus–Infected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Pneumonia.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New England Journal of Medicine, 382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1199-1207.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10.1056/NEJMoa2001316</w:t>
      </w:r>
    </w:p>
    <w:p w14:paraId="1A5CCCF7" w14:textId="6EE794F5" w:rsidR="00DC0B2E" w:rsidRDefault="00DC0B2E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Martins, C. R. (2017).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Síndrome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Burnout nos Profissionais de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Saúde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Causas,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Consequências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Prevenção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Tratamento. Dissertação de mestrado, Universidade da Beira Interior,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Covilhã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, Portugal.</w:t>
      </w:r>
    </w:p>
    <w:p w14:paraId="454A7A28" w14:textId="29AC12B0" w:rsidR="00D94083" w:rsidRPr="000A14D4" w:rsidRDefault="00D94083" w:rsidP="00DC0B2E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Minihan, E., Gavin, B., Kelly, B. D., &amp; McNicholas, F. (2020). </w:t>
      </w:r>
      <w:r w:rsidRPr="00D9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Covid-19, Mental Health and Psychological First Aid. </w:t>
      </w:r>
      <w:proofErr w:type="spellStart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Irish</w:t>
      </w:r>
      <w:proofErr w:type="spellEnd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proofErr w:type="spellEnd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</w:t>
      </w:r>
      <w:proofErr w:type="spellEnd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Psychological</w:t>
      </w:r>
      <w:proofErr w:type="spellEnd"/>
      <w:r w:rsidRPr="00D940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Medicine,</w:t>
      </w:r>
      <w:r w:rsidRPr="00D94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1-12. </w:t>
      </w:r>
      <w:proofErr w:type="spellStart"/>
      <w:r w:rsidRPr="00D94083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D94083">
        <w:rPr>
          <w:rFonts w:ascii="Times New Roman" w:hAnsi="Times New Roman" w:cs="Times New Roman"/>
          <w:color w:val="000000" w:themeColor="text1"/>
          <w:sz w:val="24"/>
          <w:szCs w:val="24"/>
        </w:rPr>
        <w:t>: 10.1017/ipm.2020.41</w:t>
      </w:r>
    </w:p>
    <w:p w14:paraId="4A30429C" w14:textId="402D6C2B" w:rsidR="00DC0B2E" w:rsidRPr="000A14D4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bookmarkStart w:id="1" w:name="_Hlk46749232"/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Molero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Jurado, M., Pérez-Fuentes, M.,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Gázquez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Linares, J. J.,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Barragán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Martín, A. B. (2018)</w:t>
      </w:r>
      <w:bookmarkEnd w:id="1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Burnout in Health Professionals According to Their Self-Esteem, Social Support and Empathy Profile. 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Frontiers in psychology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 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9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424. doi:10.3389/fpsyg.2018.00424</w:t>
      </w:r>
    </w:p>
    <w:p w14:paraId="299B75EE" w14:textId="528BC175" w:rsidR="00E71E40" w:rsidRPr="000A14D4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Morgantini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L. A., Naha, U., Wang, H., Francavilla, S.,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Acar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O., Flores, J. M.,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Crivellaro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S., Moreira, D.,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Abern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M., Eklund, M, Vigneswaran, H.,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Weine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S. M. (2020). Factors Contributing to Healthcare Professional Burnout During the COVID-19 Pandemic: A Rapid Turnaround Global Survey.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 10.1101/2020.05.17.20101915</w:t>
      </w:r>
    </w:p>
    <w:p w14:paraId="38230C67" w14:textId="77777777" w:rsidR="00E71E40" w:rsidRPr="000A14D4" w:rsidRDefault="00E71E40" w:rsidP="00E71E40">
      <w:pPr>
        <w:spacing w:line="48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46748571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Mota, I. D., Farias, G. O.,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Folle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da S. A. (2017). Síndrome de burnout em estudantes universitários: um olhar sobre as investigações.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Motrivivência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29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(esp.), 243-256.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: 10.5007/2175-8042.2017v29nespp243</w:t>
      </w:r>
    </w:p>
    <w:p w14:paraId="38784166" w14:textId="77777777" w:rsidR="00DC0B2E" w:rsidRPr="00840E8D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Navarro, D.,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Ayechu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Huarte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I. (2015)</w:t>
      </w:r>
      <w:bookmarkEnd w:id="2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Prevalencia del síndrome de 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burnout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y factores asociados a dicho síndrome en los profesionales sanitarios de Atención Primaria [Prevalence of burnout syndrome and its associated factors in Primary Care staff]. 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Semergen,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191–198. doi: 10.1016/j.semerg.2014.03.008</w:t>
      </w:r>
    </w:p>
    <w:p w14:paraId="42A28744" w14:textId="00AC53AD" w:rsidR="00E71E40" w:rsidRPr="000A14D4" w:rsidRDefault="00DC0B2E" w:rsidP="00E71E40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Oliveira, R. F., Lima, G. G., &amp; Vilela, G. De S. (2017). Incidência da síndrome de burnout nos profissionais de enfermagem: uma revisão integrativa.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Revista de Enfermagem do Centro-Oeste Mineiro, 7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(0).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10.19175</w:t>
      </w:r>
      <w:r w:rsidR="00E71E40"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2CDB1" w14:textId="6FC12569" w:rsidR="00C40728" w:rsidRPr="00E17458" w:rsidRDefault="00C40728" w:rsidP="00E71E40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Ong, A. M.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Outrunning Burnout in a GI Fellowship Program During the COVID-19 Pandemic. </w:t>
      </w:r>
      <w:r w:rsidRPr="00E174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Digestive Diseases and Sciences, 65</w:t>
      </w:r>
      <w:r w:rsidRPr="00E17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2161-2163. </w:t>
      </w:r>
      <w:proofErr w:type="spellStart"/>
      <w:r w:rsidRPr="00E17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</w:t>
      </w:r>
      <w:proofErr w:type="spellEnd"/>
      <w:r w:rsidRPr="00E174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 10.1007/s10620-020-06401-4</w:t>
      </w:r>
    </w:p>
    <w:p w14:paraId="0CFC110F" w14:textId="5ACC01C2" w:rsidR="00E71E40" w:rsidRPr="00840E8D" w:rsidRDefault="00E71E40" w:rsidP="00E71E40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Pfefferbaum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B., &amp; North, C. S. (2020). Mental Health and the Covid-19 Pandemic.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New England Journal of Medicine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doi: 10.1056/NEJMp2008017</w:t>
      </w:r>
    </w:p>
    <w:p w14:paraId="5F6C5467" w14:textId="58D84370" w:rsidR="00722CB6" w:rsidRPr="00840E8D" w:rsidRDefault="00722CB6" w:rsidP="00E71E40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Preti, E., Di Mattei, V., Perego, G., Ferrari, F., Mazzetti, M., Taranto, P., Di Pierro, R., Madeddu, F., &amp; Calati, R.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Psychological Impact of Epidemic and Pandemic Outbreaks on Healthcare Workers: Rapid Review of the Evidence.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Current Psychiatry Report, 22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(43). doi: 10.1007/s11920-020-01166-z</w:t>
      </w:r>
    </w:p>
    <w:p w14:paraId="1B0CF2D1" w14:textId="77777777" w:rsidR="00722CB6" w:rsidRPr="000A14D4" w:rsidRDefault="00722CB6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Ramaci, T., Barattucci, M., Ledda, C., &amp; Rapisarda, V.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Social Stigma during COVID-19 and its Impact on HCWs Outcomes.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Sustainability, 12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(9).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 10.3390/su12093834</w:t>
      </w:r>
    </w:p>
    <w:p w14:paraId="3F06A3EC" w14:textId="637F05C3" w:rsidR="00DC0B2E" w:rsidRPr="00840E8D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Restauri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N., &amp; Sheridan, A. D. (2020). Burnout and Posttraumatic Stress Disorder in the Coronavirus Disease 2019 (COVID-19) Pandemic: Intersection, Impact, and Interventions.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American College of Radiology, 17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921-926. doi: 10.1016/j.jacr.2020.05.021</w:t>
      </w:r>
    </w:p>
    <w:p w14:paraId="7CCB7D1B" w14:textId="7B51EB3A" w:rsidR="00DC0B2E" w:rsidRPr="000A14D4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Rodrigues, C. C. F. M., Santos, V. E. P., &amp; Sousa, P. (2017).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Patient safety and nursing: interface with stress and Burnout Syndrome.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Revista Brasileira de Enfermagem, 70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(5), 1083-1088.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10.1590/0034-7167-2016-0194</w:t>
      </w:r>
    </w:p>
    <w:p w14:paraId="06C9C2B5" w14:textId="62F14506" w:rsidR="000A14D4" w:rsidRPr="000A14D4" w:rsidRDefault="000A14D4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Salvagioni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D. A. J.,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Melanda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 N., Mesas, A. E., González, A. D.,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Gabani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 L., &amp; Andrade, S. M. (2017).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Physical, psychological and occupational consequences of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job burnout: A systematic review of prospective studies.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PLoS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ONE, 12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(10).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10.1371/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pone.0185781</w:t>
      </w:r>
    </w:p>
    <w:p w14:paraId="21455A1B" w14:textId="4D4B23FF" w:rsidR="00E71E40" w:rsidRPr="000A14D4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Sasangohar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F., Jones, S. L.,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Masud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F. N.,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Vahidy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F. S.,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Kash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B. A. (2020). Provider Burnout and Fatigue During the COVID-19 Pandemic: Lessons Learned </w:t>
      </w:r>
      <w:proofErr w:type="gram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From</w:t>
      </w:r>
      <w:proofErr w:type="gram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 High- Volume Intensive Care Unit.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Anesthesia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&amp; Analgesia, 131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106-111.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10.1213/ANE.0000000000004866</w:t>
      </w:r>
    </w:p>
    <w:p w14:paraId="258B75FD" w14:textId="3B3C65E6" w:rsidR="00DC0B2E" w:rsidRPr="00CB5880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Souza, A. K. da S., &amp; Maria, A. L. (2016). Síndrome de burnout em diferentes áreas profissionais e seus efeitos.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Revista Acta Brasileira do Movimento Humano, 6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(3), 1-12. </w:t>
      </w:r>
      <w:proofErr w:type="spellStart"/>
      <w:r w:rsidR="00033382" w:rsidRPr="00CB58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Retrieved</w:t>
      </w:r>
      <w:proofErr w:type="spellEnd"/>
      <w:r w:rsidR="00033382" w:rsidRPr="00CB58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033382" w:rsidRPr="00CB58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from</w:t>
      </w:r>
      <w:proofErr w:type="spellEnd"/>
      <w:r w:rsidRPr="00CB58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: </w:t>
      </w:r>
      <w:r w:rsidRPr="00CB58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http://www.periodicos.ulbra.br/index.php/actabrasileira/article/view/2920/2492</w:t>
      </w:r>
    </w:p>
    <w:p w14:paraId="723A2414" w14:textId="7F390653" w:rsidR="00DC0B2E" w:rsidRPr="000A14D4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Souza, M. T., Silva, M. D., &amp; Carvalho, R. (2010). Revisão integrativa: o que é e como fazer.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Einstein (São Paulo), 8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102-106.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: 10.1590/s1679-45082010rw1134</w:t>
      </w:r>
    </w:p>
    <w:p w14:paraId="49B4A1F3" w14:textId="3801DF00" w:rsidR="00722CB6" w:rsidRPr="00840E8D" w:rsidRDefault="00722CB6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40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Stephens, E. H., Dearani, J. A., &amp; Guleserian, K. J. (2020).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Courage, Fortitude, and Effective Leadership of Surgical Teams During COVID-19. </w:t>
      </w:r>
      <w:r w:rsidRPr="00840E8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World Journal for Pediatric and Congenital Heart Surgery</w:t>
      </w:r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doi: 10.1177/2150135120938330</w:t>
      </w:r>
    </w:p>
    <w:p w14:paraId="3B8703CF" w14:textId="5F02ACD8" w:rsidR="00DC0B2E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3" w:name="_Hlk46915771"/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Sultana, A., Sharma, R., Hossain, M., Bhattacharya, S., &amp; Purohit, N. (2020</w:t>
      </w:r>
      <w:bookmarkEnd w:id="3"/>
      <w:r w:rsidRPr="00840E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Burnout Among Healthcare Providers During COVID-19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Pandemic: Challenges and Evidence-based Interventions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10.20529/IJME.2020.73</w:t>
      </w:r>
    </w:p>
    <w:p w14:paraId="04ADD0B6" w14:textId="558735FE" w:rsidR="00D94083" w:rsidRPr="000A14D4" w:rsidRDefault="00D94083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Sung, C., Chen, C., Fan, C., Su, F., Chang, J., Hung, C., Fu, C., Wong, L., Huang, E. P., &amp; Lee, T. S. (2020).  Burnout in Medical Staffs During a Coronavirus </w:t>
      </w:r>
      <w:proofErr w:type="spellStart"/>
      <w:r w:rsidRPr="00D9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Desease</w:t>
      </w:r>
      <w:proofErr w:type="spellEnd"/>
      <w:r w:rsidRPr="00D94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(COVID-19) Pandemic. The Lancet.</w:t>
      </w:r>
    </w:p>
    <w:p w14:paraId="3C596584" w14:textId="12C4EA36" w:rsidR="000A14D4" w:rsidRPr="000A14D4" w:rsidRDefault="000A14D4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Sunjaya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D. K.,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Herawati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D. M. D., &amp;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Siregar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Y. M. (2020). Depressive, Anxiety, and Burnout Symptoms on Health Care Personnel at a Month After COVID-19 Outbreak in Indonesia: A Documentary Research Using Rasch Model Analysis.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10.21203/rs.3.rs-45413/v1</w:t>
      </w:r>
    </w:p>
    <w:p w14:paraId="3EF20219" w14:textId="57C6D3E3" w:rsidR="000A14D4" w:rsidRPr="000A14D4" w:rsidRDefault="000A14D4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Uphadhyay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P. (2020). Healthcare Workers and Burnout </w:t>
      </w:r>
      <w:proofErr w:type="gram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During  COVID</w:t>
      </w:r>
      <w:proofErr w:type="gram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-19 Pandemic. 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 Lumbini Medical College, 8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(10).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10.22502/</w:t>
      </w:r>
      <w:proofErr w:type="gram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jlmc.v</w:t>
      </w:r>
      <w:proofErr w:type="gram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8il.380</w:t>
      </w:r>
    </w:p>
    <w:p w14:paraId="45A9EF72" w14:textId="77777777" w:rsidR="00DC0B2E" w:rsidRPr="000A14D4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lang w:val="en-US"/>
        </w:rPr>
        <w:t>Vandevala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lang w:val="en-US"/>
        </w:rPr>
        <w:t xml:space="preserve">, T., Pavey, L.,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lang w:val="en-US"/>
        </w:rPr>
        <w:t>Chelidoni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  <w:lang w:val="en-US"/>
        </w:rPr>
        <w:t>, O., Chang, N-F., Creagh-Brown, B., &amp; Cox, A. (2017). Psychological rumination and recovery from work in intensive care professionals: associations with stress, burnout, depression and health. 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Journal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of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intensive</w:t>
      </w:r>
      <w:proofErr w:type="spellEnd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spellStart"/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>care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,</w:t>
      </w:r>
      <w:r w:rsidRPr="000A14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CFCFC"/>
        </w:rPr>
        <w:t xml:space="preserve"> 5</w:t>
      </w:r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(16), 1-8.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: 10.1186/s40560-017-0209-0</w:t>
      </w:r>
    </w:p>
    <w:p w14:paraId="2353BAB0" w14:textId="3AD4E5E8" w:rsidR="00DC0B2E" w:rsidRPr="000A14D4" w:rsidRDefault="00DC0B2E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Vazquez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A. C. S., Santos, A. S., Da Costa, P. V., Freitas, C. P. P.</w:t>
      </w:r>
      <w:proofErr w:type="gram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de,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Witte</w:t>
      </w:r>
      <w:proofErr w:type="spellEnd"/>
      <w:proofErr w:type="gram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H. de, &amp;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Schaufeli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W. B. (2019). Trabalho e bem-estar: evidências da relação entre burnout e satisfação de vida. </w:t>
      </w:r>
      <w:proofErr w:type="spellStart"/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Avaliação</w:t>
      </w:r>
      <w:proofErr w:type="spellEnd"/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Psicológica</w:t>
      </w:r>
      <w:proofErr w:type="spellEnd"/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, 18</w:t>
      </w:r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(4), 372-381.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doi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: 10.15689/ap.2019.1804.18917.05</w:t>
      </w:r>
    </w:p>
    <w:p w14:paraId="1484C622" w14:textId="1A8D1BEF" w:rsidR="00722CB6" w:rsidRPr="000A14D4" w:rsidRDefault="00722CB6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Wilson, A. N.,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Ravaldi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C.,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Scoullar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M. J. L., Vogel, J. P., Szabo, R. A., Fisher, J. R. W., &amp; Homer, C. S. E. (2020). Caring for the </w:t>
      </w:r>
      <w:proofErr w:type="spell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carers</w:t>
      </w:r>
      <w:proofErr w:type="spell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Ensuring the provision of quality maternity care during a global pandemic. </w:t>
      </w:r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Women and Birth</w:t>
      </w:r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doi:10.1016/j.wombi</w:t>
      </w:r>
      <w:proofErr w:type="gramEnd"/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.2020.03.011 </w:t>
      </w:r>
    </w:p>
    <w:p w14:paraId="5E2DB658" w14:textId="5D8527AE" w:rsidR="00DC0B2E" w:rsidRPr="00033382" w:rsidRDefault="00DC0B2E" w:rsidP="00DC0B2E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World Health Organization (2020). </w:t>
      </w:r>
      <w:r w:rsidRPr="000A14D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Archived: WHO Timeline - COVID-19</w:t>
      </w:r>
      <w:r w:rsidRPr="000A14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033382" w:rsidRPr="000333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Retrieved from</w:t>
      </w:r>
      <w:r w:rsidRPr="000333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: </w:t>
      </w:r>
      <w:hyperlink r:id="rId8" w:history="1">
        <w:r w:rsidR="00A9503B" w:rsidRPr="0003338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https://www.who.int/news-room/detail/27-04-2020-who-timeline---covid-19</w:t>
        </w:r>
      </w:hyperlink>
    </w:p>
    <w:p w14:paraId="1AB947F4" w14:textId="6B51C907" w:rsidR="00DC0B2E" w:rsidRPr="00290F99" w:rsidRDefault="00E71E40" w:rsidP="00DC0B2E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Zerbini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G.,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Ebigbo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A.,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Reicherts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P., Kunz, M., &amp; Messman, H. (2020). Psychosocial burden of healthcare professionals in times of COVID-19 – a survey conducted at the University Hospital Augsburg.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German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Medical Science, 18. </w:t>
      </w:r>
      <w:proofErr w:type="spellStart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0A14D4">
        <w:rPr>
          <w:rFonts w:ascii="Times New Roman" w:hAnsi="Times New Roman" w:cs="Times New Roman"/>
          <w:color w:val="000000" w:themeColor="text1"/>
          <w:sz w:val="24"/>
          <w:szCs w:val="24"/>
        </w:rPr>
        <w:t>: 10.3205/000281</w:t>
      </w:r>
    </w:p>
    <w:p w14:paraId="510A2A64" w14:textId="77777777" w:rsidR="00DC0B2E" w:rsidRPr="00290F99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091480" w14:textId="77777777" w:rsidR="00DC0B2E" w:rsidRPr="00290F99" w:rsidRDefault="00DC0B2E" w:rsidP="00DC0B2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054EC3" w14:textId="2269A1C9" w:rsidR="00A25E51" w:rsidRDefault="00A25E51" w:rsidP="00A25E5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9706C7E" w14:textId="78FEFAC2" w:rsidR="00112379" w:rsidRDefault="00112379" w:rsidP="00A25E51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4DEA538" w14:textId="35B40647" w:rsidR="00112379" w:rsidRDefault="00112379" w:rsidP="001123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19561" w14:textId="77777777" w:rsidR="00112379" w:rsidRDefault="00112379" w:rsidP="0011237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D47B0" w14:textId="7A1B2E4A" w:rsidR="00112379" w:rsidRDefault="00F47391" w:rsidP="00F968F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CBEF67" wp14:editId="6A4227F6">
            <wp:extent cx="5724525" cy="529980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6" t="5722" r="25932" b="7832"/>
                    <a:stretch/>
                  </pic:blipFill>
                  <pic:spPr bwMode="auto">
                    <a:xfrm>
                      <a:off x="0" y="0"/>
                      <a:ext cx="5736480" cy="53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85AF0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4727CF74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22D6BDF2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2C75B72B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24945387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043DB1EB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06C79902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33BBAF14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4E8DDA33" w14:textId="77777777" w:rsidR="009802AA" w:rsidRDefault="009802AA" w:rsidP="00F968F6">
      <w:pPr>
        <w:spacing w:line="48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14:paraId="564769A8" w14:textId="3CE594E5" w:rsidR="00F968F6" w:rsidRPr="009802AA" w:rsidRDefault="00F968F6" w:rsidP="00F968F6">
      <w:pPr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802AA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lastRenderedPageBreak/>
        <w:t>Figura 1</w:t>
      </w:r>
      <w:r w:rsidR="0071043F" w:rsidRPr="009802AA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  <w:t>.</w:t>
      </w:r>
      <w:r w:rsidR="0071043F" w:rsidRPr="009802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Fluxo da informação com as fases da revisão integrativa de literatura.</w:t>
      </w:r>
    </w:p>
    <w:sectPr w:rsidR="00F968F6" w:rsidRPr="009802AA" w:rsidSect="00614C2A">
      <w:headerReference w:type="default" r:id="rId10"/>
      <w:type w:val="continuous"/>
      <w:pgSz w:w="11909" w:h="16834" w:code="9"/>
      <w:pgMar w:top="1418" w:right="1418" w:bottom="1418" w:left="1418" w:header="720" w:footer="720" w:gutter="0"/>
      <w:cols w:space="720" w:equalWidth="0">
        <w:col w:w="88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A377" w14:textId="77777777" w:rsidR="006854B9" w:rsidRDefault="006854B9" w:rsidP="009C5F1C">
      <w:pPr>
        <w:spacing w:line="240" w:lineRule="auto"/>
      </w:pPr>
      <w:r>
        <w:separator/>
      </w:r>
    </w:p>
  </w:endnote>
  <w:endnote w:type="continuationSeparator" w:id="0">
    <w:p w14:paraId="08823A90" w14:textId="77777777" w:rsidR="006854B9" w:rsidRDefault="006854B9" w:rsidP="009C5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47848" w14:textId="77777777" w:rsidR="006854B9" w:rsidRDefault="006854B9" w:rsidP="009C5F1C">
      <w:pPr>
        <w:spacing w:line="240" w:lineRule="auto"/>
      </w:pPr>
      <w:r>
        <w:separator/>
      </w:r>
    </w:p>
  </w:footnote>
  <w:footnote w:type="continuationSeparator" w:id="0">
    <w:p w14:paraId="41FB9266" w14:textId="77777777" w:rsidR="006854B9" w:rsidRDefault="006854B9" w:rsidP="009C5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490634"/>
      <w:docPartObj>
        <w:docPartGallery w:val="Page Numbers (Top of Page)"/>
        <w:docPartUnique/>
      </w:docPartObj>
    </w:sdtPr>
    <w:sdtEndPr/>
    <w:sdtContent>
      <w:p w14:paraId="142561CF" w14:textId="3FEA240C" w:rsidR="009C5F1C" w:rsidRDefault="009C5F1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FAAD5" w14:textId="77777777" w:rsidR="009C5F1C" w:rsidRDefault="009C5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82"/>
    <w:rsid w:val="00006F7C"/>
    <w:rsid w:val="00012CF8"/>
    <w:rsid w:val="00033382"/>
    <w:rsid w:val="000A14D4"/>
    <w:rsid w:val="000C0ADA"/>
    <w:rsid w:val="00112379"/>
    <w:rsid w:val="00154628"/>
    <w:rsid w:val="001F62C9"/>
    <w:rsid w:val="00385C14"/>
    <w:rsid w:val="003B4F14"/>
    <w:rsid w:val="003C5BF7"/>
    <w:rsid w:val="003F6F19"/>
    <w:rsid w:val="00427900"/>
    <w:rsid w:val="004A0FB8"/>
    <w:rsid w:val="004A0FD4"/>
    <w:rsid w:val="004A5167"/>
    <w:rsid w:val="004C1C7B"/>
    <w:rsid w:val="004E582C"/>
    <w:rsid w:val="004E5DEE"/>
    <w:rsid w:val="004F3031"/>
    <w:rsid w:val="00501814"/>
    <w:rsid w:val="005B1BF1"/>
    <w:rsid w:val="005C2D6C"/>
    <w:rsid w:val="00614C2A"/>
    <w:rsid w:val="006735F7"/>
    <w:rsid w:val="00680467"/>
    <w:rsid w:val="006854B9"/>
    <w:rsid w:val="006A3557"/>
    <w:rsid w:val="006A4BD9"/>
    <w:rsid w:val="006D3882"/>
    <w:rsid w:val="0071043F"/>
    <w:rsid w:val="00722CB6"/>
    <w:rsid w:val="00733748"/>
    <w:rsid w:val="00791EAE"/>
    <w:rsid w:val="00816A47"/>
    <w:rsid w:val="00840E8D"/>
    <w:rsid w:val="00876F1C"/>
    <w:rsid w:val="008A7B9C"/>
    <w:rsid w:val="008E3232"/>
    <w:rsid w:val="00926CA8"/>
    <w:rsid w:val="009440CE"/>
    <w:rsid w:val="00944CFB"/>
    <w:rsid w:val="00962000"/>
    <w:rsid w:val="00970C5E"/>
    <w:rsid w:val="009802AA"/>
    <w:rsid w:val="00991AFF"/>
    <w:rsid w:val="009B4A65"/>
    <w:rsid w:val="009C5F1C"/>
    <w:rsid w:val="009E7F9E"/>
    <w:rsid w:val="00A25E51"/>
    <w:rsid w:val="00A85BEA"/>
    <w:rsid w:val="00A9503B"/>
    <w:rsid w:val="00AE6B88"/>
    <w:rsid w:val="00BA407B"/>
    <w:rsid w:val="00C01ADA"/>
    <w:rsid w:val="00C10AC7"/>
    <w:rsid w:val="00C21326"/>
    <w:rsid w:val="00C40728"/>
    <w:rsid w:val="00C46686"/>
    <w:rsid w:val="00C46905"/>
    <w:rsid w:val="00C60977"/>
    <w:rsid w:val="00CB5880"/>
    <w:rsid w:val="00CC511C"/>
    <w:rsid w:val="00CD38C8"/>
    <w:rsid w:val="00CF275B"/>
    <w:rsid w:val="00D56343"/>
    <w:rsid w:val="00D805B7"/>
    <w:rsid w:val="00D85215"/>
    <w:rsid w:val="00D94083"/>
    <w:rsid w:val="00DC0B2E"/>
    <w:rsid w:val="00E00FBB"/>
    <w:rsid w:val="00E17458"/>
    <w:rsid w:val="00E56C40"/>
    <w:rsid w:val="00E67920"/>
    <w:rsid w:val="00E71E40"/>
    <w:rsid w:val="00E729E4"/>
    <w:rsid w:val="00E868E6"/>
    <w:rsid w:val="00E97520"/>
    <w:rsid w:val="00EA440F"/>
    <w:rsid w:val="00F22D35"/>
    <w:rsid w:val="00F43574"/>
    <w:rsid w:val="00F47391"/>
    <w:rsid w:val="00F60282"/>
    <w:rsid w:val="00F62129"/>
    <w:rsid w:val="00F968F6"/>
    <w:rsid w:val="00FD6C5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40F2"/>
  <w15:docId w15:val="{242FC0A1-E49D-4FA8-A728-DDB5D286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B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5F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F1C"/>
  </w:style>
  <w:style w:type="paragraph" w:styleId="Rodap">
    <w:name w:val="footer"/>
    <w:basedOn w:val="Normal"/>
    <w:link w:val="RodapChar"/>
    <w:uiPriority w:val="99"/>
    <w:unhideWhenUsed/>
    <w:rsid w:val="009C5F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F1C"/>
  </w:style>
  <w:style w:type="character" w:styleId="Hyperlink">
    <w:name w:val="Hyperlink"/>
    <w:basedOn w:val="Fontepargpadro"/>
    <w:uiPriority w:val="99"/>
    <w:unhideWhenUsed/>
    <w:rsid w:val="000A14D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-room/detail/27-04-2020-who-timeline--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psic.bvsalud.org/scielo.php?script=sci_arttext&amp;pid=S1679-33902016000100004&amp;lng=pt&amp;tlng=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yXkDGp/vKrsD9vLcdBYGkzNR0g==">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6376</Words>
  <Characters>34435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2020-09-08T16:04:00Z</dcterms:created>
  <dcterms:modified xsi:type="dcterms:W3CDTF">2020-10-07T20:47:00Z</dcterms:modified>
</cp:coreProperties>
</file>