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C1" w:rsidRPr="007C0968" w:rsidRDefault="00903AC1" w:rsidP="00903AC1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968">
        <w:rPr>
          <w:rFonts w:ascii="Times New Roman" w:eastAsia="Times New Roman" w:hAnsi="Times New Roman" w:cs="Times New Roman"/>
          <w:sz w:val="24"/>
          <w:szCs w:val="24"/>
        </w:rPr>
        <w:t xml:space="preserve">Tabela 1 - </w:t>
      </w:r>
      <w:r w:rsidRPr="007C0968">
        <w:rPr>
          <w:rFonts w:ascii="Times New Roman" w:hAnsi="Times New Roman" w:cs="Times New Roman"/>
          <w:sz w:val="24"/>
          <w:szCs w:val="24"/>
        </w:rPr>
        <w:t>Quantidade de abstracts selecionados pós-análise de critérios de inclusão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1536"/>
        <w:gridCol w:w="1688"/>
        <w:gridCol w:w="1571"/>
        <w:gridCol w:w="1796"/>
        <w:gridCol w:w="1913"/>
      </w:tblGrid>
      <w:tr w:rsidR="00903AC1" w:rsidRPr="007C0968" w:rsidTr="003A7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Base de dados</w:t>
            </w:r>
          </w:p>
        </w:tc>
        <w:tc>
          <w:tcPr>
            <w:tcW w:w="1984" w:type="dxa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Palavras chave</w:t>
            </w:r>
          </w:p>
        </w:tc>
        <w:tc>
          <w:tcPr>
            <w:tcW w:w="1843" w:type="dxa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Número inicial de abstracts</w:t>
            </w:r>
          </w:p>
        </w:tc>
        <w:tc>
          <w:tcPr>
            <w:tcW w:w="2126" w:type="dxa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Número de artigos analisados</w:t>
            </w:r>
          </w:p>
        </w:tc>
        <w:tc>
          <w:tcPr>
            <w:tcW w:w="2191" w:type="dxa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Número de artigos selecionados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C0968">
              <w:rPr>
                <w:rFonts w:ascii="Times New Roman" w:hAnsi="Times New Roman" w:cs="Times New Roman"/>
                <w:b w:val="0"/>
                <w:sz w:val="24"/>
                <w:szCs w:val="24"/>
              </w:rPr>
              <w:t>Scielo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Fobia Social</w:t>
            </w:r>
          </w:p>
        </w:tc>
        <w:tc>
          <w:tcPr>
            <w:tcW w:w="1843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1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903AC1" w:rsidRPr="007C0968" w:rsidTr="003A7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C0968">
              <w:rPr>
                <w:rFonts w:ascii="Times New Roman" w:hAnsi="Times New Roman" w:cs="Times New Roman"/>
                <w:b w:val="0"/>
                <w:sz w:val="24"/>
                <w:szCs w:val="24"/>
              </w:rPr>
              <w:t>Scielo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Ansiedade Social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C0968">
              <w:rPr>
                <w:rFonts w:ascii="Times New Roman" w:hAnsi="Times New Roman" w:cs="Times New Roman"/>
                <w:b w:val="0"/>
                <w:sz w:val="24"/>
                <w:szCs w:val="24"/>
              </w:rPr>
              <w:t>Lilacs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Fobia Social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903AC1" w:rsidRPr="007C0968" w:rsidTr="003A7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C0968">
              <w:rPr>
                <w:rFonts w:ascii="Times New Roman" w:hAnsi="Times New Roman" w:cs="Times New Roman"/>
                <w:b w:val="0"/>
                <w:sz w:val="24"/>
                <w:szCs w:val="24"/>
              </w:rPr>
              <w:t>PubMed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Fobia Social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Referências*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3AC1" w:rsidRPr="007C0968" w:rsidRDefault="00903AC1" w:rsidP="003A7678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903AC1" w:rsidRPr="007C0968" w:rsidTr="003A7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</w:tcBorders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2126" w:type="dxa"/>
            <w:tcBorders>
              <w:top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91" w:type="dxa"/>
            <w:tcBorders>
              <w:top w:val="nil"/>
            </w:tcBorders>
          </w:tcPr>
          <w:p w:rsidR="00903AC1" w:rsidRPr="007C0968" w:rsidRDefault="00903AC1" w:rsidP="003A7678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903AC1" w:rsidRPr="007C0968" w:rsidRDefault="00903AC1" w:rsidP="00903AC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68">
        <w:rPr>
          <w:rFonts w:ascii="Times New Roman" w:hAnsi="Times New Roman" w:cs="Times New Roman"/>
          <w:sz w:val="24"/>
          <w:szCs w:val="24"/>
        </w:rPr>
        <w:t>* Artigos adicionados a partir da leitura das referências bibliográficas dos artigos selecionados.</w:t>
      </w:r>
    </w:p>
    <w:p w:rsidR="009D2F08" w:rsidRDefault="009D2F08"/>
    <w:p w:rsidR="00903AC1" w:rsidRDefault="00903AC1"/>
    <w:p w:rsidR="00903AC1" w:rsidRDefault="00903AC1"/>
    <w:p w:rsidR="00903AC1" w:rsidRDefault="00903AC1">
      <w:bookmarkStart w:id="0" w:name="_GoBack"/>
      <w:bookmarkEnd w:id="0"/>
    </w:p>
    <w:p w:rsidR="00903AC1" w:rsidRDefault="00903AC1"/>
    <w:p w:rsidR="00903AC1" w:rsidRPr="007C0968" w:rsidRDefault="00903AC1" w:rsidP="00903AC1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Tabela 2</w:t>
      </w:r>
      <w:r w:rsidRPr="007C0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C0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Artigos s</w:t>
      </w:r>
      <w:r w:rsidRPr="007C0968">
        <w:rPr>
          <w:rFonts w:ascii="Times New Roman" w:hAnsi="Times New Roman" w:cs="Times New Roman"/>
          <w:sz w:val="24"/>
          <w:szCs w:val="24"/>
        </w:rPr>
        <w:t>elecionados pós-análise de critérios de inclusão</w:t>
      </w:r>
    </w:p>
    <w:tbl>
      <w:tblPr>
        <w:tblStyle w:val="SombreamentoClaro"/>
        <w:tblW w:w="924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675"/>
        <w:gridCol w:w="2552"/>
        <w:gridCol w:w="1701"/>
        <w:gridCol w:w="3041"/>
      </w:tblGrid>
      <w:tr w:rsidR="00903AC1" w:rsidRPr="007C0968" w:rsidTr="003A7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903AC1" w:rsidRPr="007C0968" w:rsidRDefault="00903AC1" w:rsidP="003A7678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Autores</w:t>
            </w:r>
          </w:p>
        </w:tc>
        <w:tc>
          <w:tcPr>
            <w:tcW w:w="675" w:type="dxa"/>
            <w:vAlign w:val="center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Ano</w:t>
            </w:r>
          </w:p>
        </w:tc>
        <w:tc>
          <w:tcPr>
            <w:tcW w:w="2552" w:type="dxa"/>
            <w:vAlign w:val="center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Objetivo</w:t>
            </w:r>
          </w:p>
        </w:tc>
        <w:tc>
          <w:tcPr>
            <w:tcW w:w="1701" w:type="dxa"/>
            <w:vAlign w:val="center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Instrumentos</w:t>
            </w:r>
          </w:p>
        </w:tc>
        <w:tc>
          <w:tcPr>
            <w:tcW w:w="3041" w:type="dxa"/>
            <w:vAlign w:val="center"/>
          </w:tcPr>
          <w:p w:rsidR="00903AC1" w:rsidRPr="007C0968" w:rsidRDefault="00903AC1" w:rsidP="003A7678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C0968">
              <w:rPr>
                <w:rFonts w:ascii="Times New Roman" w:hAnsi="Times New Roman" w:cs="Times New Roman"/>
                <w:bCs w:val="0"/>
                <w:sz w:val="24"/>
                <w:szCs w:val="24"/>
              </w:rPr>
              <w:t>Principais resultados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Rey,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Pacini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Chavira</w:t>
            </w:r>
            <w:proofErr w:type="spellEnd"/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 a prevalência e o impacto da fobia social na escolaridade (repetência) em uma amostra de estudantes adolescentes da cidade de São Paulo.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Social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Phobia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Inventory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(SPIN).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Prevalência de 7,8% na amostra.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Maior incidência entre estudantes do sexo feminino, com idade entre 12 e 15 anos. 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Aproximadamente 89% dos adolescentes com fobia social repetiram o ano na escola ao menos uma vez.</w:t>
            </w:r>
          </w:p>
        </w:tc>
      </w:tr>
      <w:tr w:rsidR="00903AC1" w:rsidRPr="007C0968" w:rsidTr="003A76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Vilete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Coutinho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Figueira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 a adaptação do SPIN.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Social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Phobia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Inventory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(SPIN).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O formulário foi adequado para aplicação em escolas do município do Rio de Janeiro.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Martins, Almeida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&amp; 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Viana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Validar a SASC-R para a população portuguesa.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keepNext/>
              <w:keepLines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Social Anxiety Scale for Children-Revised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(SASC-R)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 escala replica os fatores da versão original.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Possui boa consistência interna e uma validade de constructo bastante satisfatória. 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É uma escala útil na avaliação da ansiedade social em crianças.</w:t>
            </w:r>
          </w:p>
        </w:tc>
      </w:tr>
      <w:tr w:rsidR="00903AC1" w:rsidRPr="007C0968" w:rsidTr="003A76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Fernandes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Terra 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Relatar a prevalência e o impacto na escolaridade da fobia social em uma amostra de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adolesentes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Social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Phobia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Inventory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(SPIN)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23,12% dos alunos apresentaram sintomas compatíveis com o diagnóstico de fobia social. 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meninas tenderam a apresentar maior frequência de transtorno de ansiedade social. 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Não foi encontrada associação significativa entre repetência e fobia social.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Blöte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Kint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Westberg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Observar a relação entre ansiedade social de adolescentes e a maneira como eles são tratados pelos colegas de classe.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Social Anxiety Scale for Adolescents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(SAS-A); </w:t>
            </w: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Class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Behaviour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Rating List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 classe, de um modo geral, viu de forma negativa o comportamento dos alunos que apresentavam algum desconforto durante a apresentação oral.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O professor da sala não percebeu as manifestações da turma por estar de costas para os alunos.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As manifestações negativas foram percebidas pelo observador externo.</w:t>
            </w:r>
          </w:p>
        </w:tc>
      </w:tr>
      <w:tr w:rsidR="00903AC1" w:rsidRPr="007C0968" w:rsidTr="003A76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Camacho 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Matos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Estudar a relação existente entre as práticas parentais educativas, fobia social e rendimento acadêmico em adolescentes.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Social Phobia and Anxiety Inventory for Children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(SPAI-C)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Maior incidência da fobia social no gênero feminino. 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jovens a quem os pais dão autonomia e carinho, têm tendência a ter um melhor rendimento acadêmico, bem como uma menor predisposição para apresentar fobia social. 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Os jovens que recebem proteção por parte dos pais têm tendência para apresentar sintomas de fobia social, e pior rendimento acadêmico.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Vilete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Figueira 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Coutinho 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Adaptar o Social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Phobia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Inventory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(SPIN) para o português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Tradução e adaptação do </w:t>
            </w: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Social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Phobia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Inventory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(SPIN)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6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Adaptação do SPIN para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aplicaçao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escolas do Município do Rio de Janeiro</w:t>
            </w:r>
          </w:p>
        </w:tc>
      </w:tr>
      <w:tr w:rsidR="00903AC1" w:rsidRPr="007C0968" w:rsidTr="003A76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de-DE"/>
              </w:rPr>
            </w:pP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de-DE"/>
              </w:rPr>
              <w:t xml:space="preserve">Van Ameringen, Macini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de-DE"/>
              </w:rPr>
              <w:t>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de-DE"/>
              </w:rPr>
              <w:t xml:space="preserve"> Farvolden 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Estudar os motivos que levaram portadores de transtorno de ansiedade a abandonar os estudos.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School Questionnaire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Beck Depression Inventory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(BDI),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Stait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-Trait Anxiety Inventory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(STAI), </w:t>
            </w: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Fear Questionnaire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Social Adjustment Scale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(SAS) e </w:t>
            </w: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Sheehan Disability Scale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(SDS).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23,9% dos entrevistados apresentaram sintomas compatíveis com fobia social generalizada.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48,75% dos pacientes abandonaram os estudos precocemente.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 pacientes citados acima, 61,2% tinham diagnóstico de FS generalizada primária ou como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comorbidade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As principais razões dadas para o abandono precoce foram: (1</w:t>
            </w:r>
            <w:proofErr w:type="gram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) Sentir</w:t>
            </w:r>
            <w:proofErr w:type="gram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muito nervoso na escola ou na sala de aula; (2) obter um trabalho ou ser independente; (3) estar entediado ou desinteressado na escola; e (4) problemas para falar na frente da turma.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Stein 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Kean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Investigar a extensão e o limite da incapacidade e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reduaçãoda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qualidade de vida associada com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fobia social na comunidade.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Mental Health Supplement to the Ontario Health Survey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8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Pessoas com diagnóstico passado ou atual de fobia social apresentam problemas em diversos aspectos,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como problemas familiares, de relacionamento, abandono precoce da escola e insatisfação com a vida.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8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danos são maiores quando a fobia social é uma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comorbidade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outros transtornos, como a depressão.</w:t>
            </w:r>
          </w:p>
        </w:tc>
      </w:tr>
      <w:tr w:rsidR="00903AC1" w:rsidRPr="007C0968" w:rsidTr="003A76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Fleitlich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Bilyk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&amp;</w:t>
            </w: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Goodman 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a prevalência de transtornos do DSM-IV a o padrão das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comorbidades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escolares entre 7 e 14 anos.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Development and Well-Being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Assesment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12.7% da amostra apresentou, pelo menos um, diagnóstico de um transtorno apresentado no DSM-IV. 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Os mais comuns foram: transtorno de ansiedade (5.2%), sendo que a fobia social apresentou uma prevalência de 0,7%; transtornos depressivos (1,0%); TDAH (1,8%); transtorno opositor ou de conduta (7,0%).</w:t>
            </w:r>
          </w:p>
        </w:tc>
      </w:tr>
      <w:tr w:rsidR="00903AC1" w:rsidRPr="007C0968" w:rsidTr="003A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Lindo et al.</w:t>
            </w:r>
          </w:p>
        </w:tc>
        <w:tc>
          <w:tcPr>
            <w:tcW w:w="6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3A7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Determinar a prevalência de sintomas de FS em adolescentes do sexo masculino do Colégio Salesiano de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Breña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(Lima, Peru)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Del="000D5BB4" w:rsidRDefault="00903AC1" w:rsidP="003A7678">
            <w:pPr>
              <w:keepNext/>
              <w:keepLines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Inventario de Fobia Social de Davidson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(SPIN); </w:t>
            </w:r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Escala de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Ansiedad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Social de </w:t>
            </w:r>
            <w:proofErr w:type="spellStart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Liebowitz</w:t>
            </w:r>
            <w:proofErr w:type="spellEnd"/>
            <w:r w:rsidRPr="007C09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(LSAS)</w:t>
            </w:r>
          </w:p>
        </w:tc>
        <w:tc>
          <w:tcPr>
            <w:tcW w:w="304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03AC1" w:rsidRPr="007C0968" w:rsidRDefault="00903AC1" w:rsidP="00903AC1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 FS é mais frequente entre os 11 e 12 anos, segundo o LSAS.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A FS é mais frequente aos 11 anos, segundo o SPIN.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40,5% dos alunos apresentaram sintomas da FS, segundo o SPIN.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>Segundo o LSAS, 77,4% apresentaram FS ausente o leve; 20,5% apresentaram FS moderada; e 2,1% apresentaram FS severa.</w:t>
            </w:r>
          </w:p>
          <w:p w:rsidR="00903AC1" w:rsidRPr="007C0968" w:rsidRDefault="00903AC1" w:rsidP="00903AC1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disciplinas Geografia e Ciências Naturais </w:t>
            </w:r>
            <w:r w:rsidRPr="007C0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apresentaram o menor rendimento acadêmico entre os alunos com FS.</w:t>
            </w:r>
          </w:p>
        </w:tc>
      </w:tr>
    </w:tbl>
    <w:p w:rsidR="00903AC1" w:rsidRDefault="00903AC1"/>
    <w:sectPr w:rsidR="00903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4A8"/>
    <w:multiLevelType w:val="hybridMultilevel"/>
    <w:tmpl w:val="A4F61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6BA"/>
    <w:multiLevelType w:val="hybridMultilevel"/>
    <w:tmpl w:val="E5023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0FEF"/>
    <w:multiLevelType w:val="hybridMultilevel"/>
    <w:tmpl w:val="CE6A4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A40C6"/>
    <w:multiLevelType w:val="hybridMultilevel"/>
    <w:tmpl w:val="7F545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42D57"/>
    <w:multiLevelType w:val="hybridMultilevel"/>
    <w:tmpl w:val="3FC26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04264"/>
    <w:multiLevelType w:val="hybridMultilevel"/>
    <w:tmpl w:val="95FC7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673E7"/>
    <w:multiLevelType w:val="hybridMultilevel"/>
    <w:tmpl w:val="07CA1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6472F"/>
    <w:multiLevelType w:val="hybridMultilevel"/>
    <w:tmpl w:val="2478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5604F"/>
    <w:multiLevelType w:val="hybridMultilevel"/>
    <w:tmpl w:val="0C6E2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A7"/>
    <w:rsid w:val="00903AC1"/>
    <w:rsid w:val="009D2F08"/>
    <w:rsid w:val="00AA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14A0-597D-45C8-949D-8F210218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AC1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03AC1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table" w:styleId="SombreamentoClaro">
    <w:name w:val="Light Shading"/>
    <w:basedOn w:val="Tabelanormal"/>
    <w:uiPriority w:val="60"/>
    <w:rsid w:val="00903AC1"/>
    <w:pPr>
      <w:spacing w:after="0" w:line="240" w:lineRule="auto"/>
    </w:pPr>
    <w:rPr>
      <w:rFonts w:ascii="Arial" w:eastAsia="Arial" w:hAnsi="Arial" w:cs="Arial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903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2016-04-25T22:35:00Z</dcterms:created>
  <dcterms:modified xsi:type="dcterms:W3CDTF">2016-04-25T22:48:00Z</dcterms:modified>
</cp:coreProperties>
</file>