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6"/>
        <w:gridCol w:w="1038"/>
        <w:gridCol w:w="1040"/>
        <w:gridCol w:w="1661"/>
        <w:gridCol w:w="1656"/>
        <w:gridCol w:w="1431"/>
        <w:gridCol w:w="2847"/>
        <w:gridCol w:w="2805"/>
        <w:gridCol w:w="1404"/>
      </w:tblGrid>
      <w:tr w:rsidR="00020A46" w:rsidRPr="00F574EF" w:rsidTr="00020A46">
        <w:trPr>
          <w:trHeight w:val="548"/>
        </w:trPr>
        <w:tc>
          <w:tcPr>
            <w:tcW w:w="0" w:type="auto"/>
            <w:vAlign w:val="center"/>
          </w:tcPr>
          <w:p w:rsidR="00F574EF" w:rsidRPr="00F574EF" w:rsidRDefault="00F574EF" w:rsidP="00F574E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F574EF" w:rsidRPr="00F574EF" w:rsidRDefault="00F574EF" w:rsidP="00F574E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574EF">
              <w:rPr>
                <w:rFonts w:ascii="Times New Roman" w:hAnsi="Times New Roman" w:cs="Times New Roman"/>
                <w:b/>
                <w:sz w:val="12"/>
                <w:szCs w:val="12"/>
              </w:rPr>
              <w:t>Autor (es) e Universidades à qual estão vinculados</w:t>
            </w:r>
          </w:p>
        </w:tc>
        <w:tc>
          <w:tcPr>
            <w:tcW w:w="0" w:type="auto"/>
            <w:vAlign w:val="center"/>
          </w:tcPr>
          <w:p w:rsidR="00F574EF" w:rsidRPr="00F574EF" w:rsidRDefault="00F574EF" w:rsidP="00F574E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574EF">
              <w:rPr>
                <w:rFonts w:ascii="Times New Roman" w:hAnsi="Times New Roman" w:cs="Times New Roman"/>
                <w:b/>
                <w:sz w:val="12"/>
                <w:szCs w:val="12"/>
              </w:rPr>
              <w:t>Journal</w:t>
            </w:r>
          </w:p>
        </w:tc>
        <w:tc>
          <w:tcPr>
            <w:tcW w:w="0" w:type="auto"/>
            <w:vAlign w:val="center"/>
          </w:tcPr>
          <w:p w:rsidR="00F574EF" w:rsidRPr="00F574EF" w:rsidRDefault="00F574EF" w:rsidP="00F574E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574EF">
              <w:rPr>
                <w:rFonts w:ascii="Times New Roman" w:hAnsi="Times New Roman" w:cs="Times New Roman"/>
                <w:b/>
                <w:sz w:val="12"/>
                <w:szCs w:val="12"/>
              </w:rPr>
              <w:t>Título</w:t>
            </w:r>
          </w:p>
        </w:tc>
        <w:tc>
          <w:tcPr>
            <w:tcW w:w="0" w:type="auto"/>
            <w:vAlign w:val="center"/>
          </w:tcPr>
          <w:p w:rsidR="00F574EF" w:rsidRPr="00F574EF" w:rsidRDefault="00F574EF" w:rsidP="00F574E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574EF">
              <w:rPr>
                <w:rFonts w:ascii="Times New Roman" w:hAnsi="Times New Roman" w:cs="Times New Roman"/>
                <w:b/>
                <w:sz w:val="12"/>
                <w:szCs w:val="12"/>
              </w:rPr>
              <w:t>Problema de Pesquisa</w:t>
            </w:r>
          </w:p>
        </w:tc>
        <w:tc>
          <w:tcPr>
            <w:tcW w:w="0" w:type="auto"/>
            <w:vAlign w:val="center"/>
          </w:tcPr>
          <w:p w:rsidR="00F574EF" w:rsidRPr="00F574EF" w:rsidRDefault="00F574EF" w:rsidP="00F574E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574EF">
              <w:rPr>
                <w:rFonts w:ascii="Times New Roman" w:hAnsi="Times New Roman" w:cs="Times New Roman"/>
                <w:b/>
                <w:sz w:val="12"/>
                <w:szCs w:val="12"/>
              </w:rPr>
              <w:t>Objetivo</w:t>
            </w:r>
          </w:p>
        </w:tc>
        <w:tc>
          <w:tcPr>
            <w:tcW w:w="0" w:type="auto"/>
            <w:vAlign w:val="center"/>
          </w:tcPr>
          <w:p w:rsidR="00F574EF" w:rsidRPr="00F574EF" w:rsidRDefault="00F574EF" w:rsidP="00F574E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574EF">
              <w:rPr>
                <w:rFonts w:ascii="Times New Roman" w:hAnsi="Times New Roman" w:cs="Times New Roman"/>
                <w:b/>
                <w:sz w:val="12"/>
                <w:szCs w:val="12"/>
              </w:rPr>
              <w:t>Metodologia &amp;</w:t>
            </w:r>
          </w:p>
          <w:p w:rsidR="00F574EF" w:rsidRPr="00F574EF" w:rsidRDefault="00F574EF" w:rsidP="00F574E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574EF">
              <w:rPr>
                <w:rFonts w:ascii="Times New Roman" w:hAnsi="Times New Roman" w:cs="Times New Roman"/>
                <w:b/>
                <w:sz w:val="12"/>
                <w:szCs w:val="12"/>
              </w:rPr>
              <w:t>Objeto Empírico/</w:t>
            </w:r>
          </w:p>
          <w:p w:rsidR="00F574EF" w:rsidRPr="00F574EF" w:rsidRDefault="00F574EF" w:rsidP="00F574E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574EF">
              <w:rPr>
                <w:rFonts w:ascii="Times New Roman" w:hAnsi="Times New Roman" w:cs="Times New Roman"/>
                <w:b/>
                <w:sz w:val="12"/>
                <w:szCs w:val="12"/>
              </w:rPr>
              <w:t>Setor de Atuação</w:t>
            </w:r>
          </w:p>
          <w:p w:rsidR="00F574EF" w:rsidRPr="00F574EF" w:rsidRDefault="00F574EF" w:rsidP="00F574E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574EF" w:rsidRPr="00F574EF" w:rsidRDefault="00F574EF" w:rsidP="00F574E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F574EF" w:rsidRPr="00F574EF" w:rsidRDefault="00F574EF" w:rsidP="00F574E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574EF">
              <w:rPr>
                <w:rFonts w:ascii="Times New Roman" w:hAnsi="Times New Roman" w:cs="Times New Roman"/>
                <w:b/>
                <w:sz w:val="12"/>
                <w:szCs w:val="12"/>
              </w:rPr>
              <w:t>Principais Resultados</w:t>
            </w:r>
          </w:p>
        </w:tc>
        <w:tc>
          <w:tcPr>
            <w:tcW w:w="0" w:type="auto"/>
            <w:vAlign w:val="center"/>
          </w:tcPr>
          <w:p w:rsidR="00F574EF" w:rsidRPr="00F574EF" w:rsidRDefault="00F574EF" w:rsidP="00F574E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574EF">
              <w:rPr>
                <w:rFonts w:ascii="Times New Roman" w:hAnsi="Times New Roman" w:cs="Times New Roman"/>
                <w:b/>
                <w:sz w:val="12"/>
                <w:szCs w:val="12"/>
              </w:rPr>
              <w:t>Teorias usadas/Campo de estudo e Assuntos relacionados</w:t>
            </w:r>
          </w:p>
        </w:tc>
      </w:tr>
      <w:tr w:rsidR="00020A46" w:rsidRPr="00326B56" w:rsidTr="00661501">
        <w:tc>
          <w:tcPr>
            <w:tcW w:w="0" w:type="auto"/>
          </w:tcPr>
          <w:p w:rsidR="00F574EF" w:rsidRPr="00326B56" w:rsidRDefault="00F574EF" w:rsidP="00020A46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F574EF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Clausen e Rasmussen (2011)</w:t>
            </w:r>
          </w:p>
          <w:p w:rsidR="00F574EF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F574EF" w:rsidRPr="00326B56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F574EF" w:rsidRDefault="00F574EF" w:rsidP="00F574EF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en-US"/>
              </w:rPr>
            </w:pPr>
            <w:r w:rsidRPr="00F574EF">
              <w:rPr>
                <w:rFonts w:ascii="Times New Roman" w:hAnsi="Times New Roman" w:cs="Times New Roman"/>
                <w:iCs/>
                <w:sz w:val="12"/>
                <w:szCs w:val="12"/>
                <w:lang w:val="en-US"/>
              </w:rPr>
              <w:t>Nordland Research Institute</w:t>
            </w:r>
          </w:p>
          <w:p w:rsidR="00F574EF" w:rsidRPr="00F574EF" w:rsidRDefault="00F574EF" w:rsidP="00F574EF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en-US"/>
              </w:rPr>
            </w:pPr>
          </w:p>
          <w:p w:rsidR="00F574EF" w:rsidRPr="00326B56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F574EF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Bodø Graduate School of Business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Technology Analysis &amp; Strategic Management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Open innovation policy through</w:t>
            </w:r>
          </w:p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intermediaries: the industry incubator</w:t>
            </w:r>
          </w:p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programme in Norway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Em que medida, a inovação aberta é uma perspectiva relevante para os formuladores de políticas que buscam promover a inovação e o empreendedorismo?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Analisar e discutir se a inovação aberta é uma perspectiva relevante para analisar</w:t>
            </w:r>
          </w:p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o papel dos intermediários da política de inovação.</w:t>
            </w:r>
          </w:p>
        </w:tc>
        <w:tc>
          <w:tcPr>
            <w:tcW w:w="0" w:type="auto"/>
            <w:vAlign w:val="center"/>
          </w:tcPr>
          <w:p w:rsidR="00F574EF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Baseou-se em dados qualitativos (15 entrevistas) e quantitativos (137 questionários)  aplicados a três agentes envolvidos no processo: gerentes de incubadoras, CEO´s de empresas mãe e presidentes de empresas start-up)</w:t>
            </w:r>
          </w:p>
          <w:p w:rsidR="00F574EF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___ </w:t>
            </w:r>
          </w:p>
          <w:p w:rsidR="00F574EF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Incubadoras industriais norueguesas alocadas em pequenas cidades ou áreas rurais.</w:t>
            </w:r>
          </w:p>
          <w:p w:rsidR="00F574EF" w:rsidRPr="00326B56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F574EF" w:rsidRPr="00326B56" w:rsidRDefault="00020A46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A</w:t>
            </w:r>
            <w:r w:rsidR="00F574EF"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s incubadoras foram capazes de preservar, manter e transferir conhecimentos e recursos para a sociedade; As incubadoras conectam ideias, e se apropriam dos conhecimentos das redes das empresas mães. O sucesso dos processos das incubadoras é melhor quando os gerentes destas possuem experiência e, formam laços de rede, principalmente redes externas que não existiam no local. </w:t>
            </w:r>
          </w:p>
          <w:p w:rsidR="00F574EF" w:rsidRPr="00326B56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Políticas públicas</w:t>
            </w:r>
          </w:p>
        </w:tc>
      </w:tr>
      <w:tr w:rsidR="00020A46" w:rsidRPr="00326B56" w:rsidTr="00661501">
        <w:tc>
          <w:tcPr>
            <w:tcW w:w="0" w:type="auto"/>
          </w:tcPr>
          <w:p w:rsidR="00F574EF" w:rsidRPr="00326B56" w:rsidRDefault="00F574EF" w:rsidP="00020A46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F53F0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Belussi at al. (2008)</w:t>
            </w:r>
          </w:p>
          <w:p w:rsidR="00F574EF" w:rsidRPr="00326B56" w:rsidRDefault="00F574EF" w:rsidP="00020A46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F574EF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Univ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ersity of Padua, Padova, Italy </w:t>
            </w:r>
          </w:p>
          <w:p w:rsidR="00F574EF" w:rsidRPr="00326B56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F574EF" w:rsidRPr="00326B56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L’Aquila University,</w:t>
            </w:r>
          </w:p>
          <w:p w:rsidR="00F574EF" w:rsidRPr="00326B56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L’Aquila, Italy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European Planning Studies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Managing Long Distance and Localized</w:t>
            </w:r>
          </w:p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Learning in the Emilia Romagna Life Science Cluster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As redes formadas pelas empresas são diferentes daquelas redes formadas por organizações de pesquisa pública (OPP) quanto ao tipo de parceiros, localização geográfica e impacto no desempenho inovador?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- Buscar </w:t>
            </w:r>
            <w:r w:rsidR="00BD24F2" w:rsidRPr="00326B56">
              <w:rPr>
                <w:rFonts w:ascii="Times New Roman" w:hAnsi="Times New Roman" w:cs="Times New Roman"/>
                <w:sz w:val="12"/>
                <w:szCs w:val="12"/>
              </w:rPr>
              <w:t>evidencia</w:t>
            </w:r>
            <w:r w:rsidR="00BD24F2"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 empíricas sobre a eficácia do modelo de inovação aberta no cluster de ciências da vida da Emília Romagna e,</w:t>
            </w:r>
          </w:p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-Investigar a propensão para construir redes de pesquisa no setor das ciências da vida.</w:t>
            </w:r>
          </w:p>
        </w:tc>
        <w:tc>
          <w:tcPr>
            <w:tcW w:w="0" w:type="auto"/>
            <w:vAlign w:val="center"/>
          </w:tcPr>
          <w:p w:rsidR="00F574EF" w:rsidRDefault="00F574EF" w:rsidP="00D75C17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Utilizou-se  tanto de dados primários provenientes de entrevistas com pesquisadores e empresários, quanto, dados secundários extraídos da Internet, banco de dados PubMed, e a partir do Instituto Europeu de Patentes. O trabalho baseia-se na análise de uma amostra representativa de 30 grupos de pesquisa em OPP, 2173 artigos científicos publicados pelos cientistas entrevistados, e uma amostra representativa de 78 empresas privadas.</w:t>
            </w:r>
          </w:p>
          <w:p w:rsidR="00F574EF" w:rsidRDefault="00F574EF" w:rsidP="00D75C17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Default="00F574EF" w:rsidP="00D75C17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____</w:t>
            </w:r>
          </w:p>
          <w:p w:rsidR="00F574EF" w:rsidRDefault="00F574EF" w:rsidP="00D75C17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Default="00F574EF" w:rsidP="00D75C17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Redes de atividade colaborativas de P&amp;D em organizações de pesquisa públicas e empresas privadas.  </w:t>
            </w:r>
          </w:p>
          <w:p w:rsidR="00F574EF" w:rsidRPr="00326B56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F574EF" w:rsidRPr="00326B56" w:rsidRDefault="00F574EF" w:rsidP="00147A08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 Inovação aberta parece ser bastante difundida</w:t>
            </w:r>
            <w:r w:rsidR="00147A08">
              <w:rPr>
                <w:rFonts w:ascii="Times New Roman" w:hAnsi="Times New Roman" w:cs="Times New Roman"/>
                <w:sz w:val="12"/>
                <w:szCs w:val="12"/>
              </w:rPr>
              <w:t xml:space="preserve"> e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 as redes tem contribuído significativamente para a inovação, especialmente aquelas que têm nós internacionais;</w:t>
            </w:r>
            <w:r w:rsidR="00020A4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a extensão de redes de P &amp; D cooperativos parece ser geralmente mais forte para o OPPs regionais do que para as empresas analisadas.  Quase todas as amostras de OPPs (87%) são ligados com parceiros externos (dos quais 23% são atores internacionais). Pelo contrário, apenas 58% das empresas da amostra apresentam algumas conexões com parceiros de pesquisa (de quais 23% são atores internacionais). A convergê</w:t>
            </w:r>
            <w:r w:rsidR="00147A08">
              <w:rPr>
                <w:rFonts w:ascii="Times New Roman" w:hAnsi="Times New Roman" w:cs="Times New Roman"/>
                <w:sz w:val="12"/>
                <w:szCs w:val="12"/>
              </w:rPr>
              <w:t xml:space="preserve">ncia espacial de profissionais em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redes sugere que o aprendizado local e também o de longa distância são igualmente importante para alavancar o desempenho da inovação.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Transferência de conhecimento</w:t>
            </w:r>
          </w:p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Capacidade Absortiva</w:t>
            </w:r>
          </w:p>
          <w:p w:rsidR="00F574EF" w:rsidRPr="00326B56" w:rsidRDefault="00661501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proximidade geográfica</w:t>
            </w:r>
            <w:r w:rsidR="00F574EF" w:rsidRPr="00326B56">
              <w:rPr>
                <w:rFonts w:ascii="Times New Roman" w:hAnsi="Times New Roman" w:cs="Times New Roman"/>
                <w:sz w:val="12"/>
                <w:szCs w:val="12"/>
              </w:rPr>
              <w:t>/ regiões de aprendizagem</w:t>
            </w:r>
          </w:p>
        </w:tc>
      </w:tr>
      <w:tr w:rsidR="00020A46" w:rsidRPr="00326B56" w:rsidTr="00661501">
        <w:tc>
          <w:tcPr>
            <w:tcW w:w="0" w:type="auto"/>
          </w:tcPr>
          <w:p w:rsidR="00F574EF" w:rsidRPr="00326B56" w:rsidRDefault="00F574EF" w:rsidP="00020A46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F53F0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Angehrn </w:t>
            </w:r>
            <w:r w:rsidR="006D323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et al.,</w:t>
            </w:r>
            <w:r w:rsidR="00F53F0A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(</w:t>
            </w: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2009)</w:t>
            </w:r>
          </w:p>
          <w:p w:rsidR="00F574EF" w:rsidRDefault="00F574EF" w:rsidP="00020A46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F574EF" w:rsidRPr="00326B56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Centre for Advanced Learning 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T</w:t>
            </w: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echnologies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-</w:t>
            </w: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Fran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ça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Interactive Learning Environments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InnoTube: a video-based connection tool supporting collaborative</w:t>
            </w:r>
          </w:p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innovation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Os conceitos da Web2.0  e as suas ferramentas podem ter um impacto positivo na inovação em geral, e em particular sobre o desenvolvimento de novos produtos?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Propor um ambiente ideal para que ideais inovadoras emirjam e se desenvolvam on line .</w:t>
            </w:r>
          </w:p>
        </w:tc>
        <w:tc>
          <w:tcPr>
            <w:tcW w:w="0" w:type="auto"/>
            <w:vAlign w:val="center"/>
          </w:tcPr>
          <w:p w:rsidR="00F574EF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Pesquisa-Ação</w:t>
            </w:r>
            <w:r w:rsidR="005C5CCB">
              <w:rPr>
                <w:rFonts w:ascii="Times New Roman" w:hAnsi="Times New Roman" w:cs="Times New Roman"/>
                <w:sz w:val="12"/>
                <w:szCs w:val="12"/>
              </w:rPr>
              <w:t>: elaboração e teste de um sistema de gestão do conhecimento para inovação colaborativa.</w:t>
            </w:r>
          </w:p>
          <w:p w:rsidR="00F574EF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___ </w:t>
            </w:r>
          </w:p>
          <w:p w:rsidR="00F574EF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Pr="00326B56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Fábrica de Automóveis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5C5CCB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A experiências </w:t>
            </w:r>
            <w:r w:rsidR="005C5CCB">
              <w:rPr>
                <w:rFonts w:ascii="Times New Roman" w:hAnsi="Times New Roman" w:cs="Times New Roman"/>
                <w:sz w:val="12"/>
                <w:szCs w:val="12"/>
              </w:rPr>
              <w:t>dos parceiros contribui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 para</w:t>
            </w:r>
            <w:r w:rsidR="005C5CCB">
              <w:rPr>
                <w:rFonts w:ascii="Times New Roman" w:hAnsi="Times New Roman" w:cs="Times New Roman"/>
                <w:sz w:val="12"/>
                <w:szCs w:val="12"/>
              </w:rPr>
              <w:t xml:space="preserve"> o</w:t>
            </w:r>
            <w:r w:rsidR="00020A4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desenvolvimento de ideias, e descobrimento de</w:t>
            </w:r>
            <w:r w:rsidR="00020A4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projetos;</w:t>
            </w:r>
            <w:r w:rsidR="005C5CCB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Obtenção de um melhor conhecimento dos membros da equipe, incluindo suas relações com outros</w:t>
            </w:r>
            <w:r w:rsidR="00020A4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membros da comunidade (valor de conexão).</w:t>
            </w:r>
            <w:r w:rsidR="00020A4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Acessar o know-how e </w:t>
            </w:r>
            <w:r w:rsidR="005C5CCB" w:rsidRPr="00326B56">
              <w:rPr>
                <w:rFonts w:ascii="Times New Roman" w:hAnsi="Times New Roman" w:cs="Times New Roman"/>
                <w:sz w:val="12"/>
                <w:szCs w:val="12"/>
              </w:rPr>
              <w:t>ideias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 de outros membros da equipe (ou seja, adicionar valor a aprendizagem).</w:t>
            </w:r>
            <w:r w:rsidR="00020A4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5C5CCB">
              <w:rPr>
                <w:rFonts w:ascii="Times New Roman" w:hAnsi="Times New Roman" w:cs="Times New Roman"/>
                <w:sz w:val="12"/>
                <w:szCs w:val="12"/>
              </w:rPr>
              <w:t>O sistema de gestão f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acilita</w:t>
            </w:r>
            <w:r w:rsidR="005C5CCB">
              <w:rPr>
                <w:rFonts w:ascii="Times New Roman" w:hAnsi="Times New Roman" w:cs="Times New Roman"/>
                <w:sz w:val="12"/>
                <w:szCs w:val="12"/>
              </w:rPr>
              <w:t xml:space="preserve"> a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020A46">
              <w:rPr>
                <w:rFonts w:ascii="Times New Roman" w:hAnsi="Times New Roman" w:cs="Times New Roman"/>
                <w:sz w:val="12"/>
                <w:szCs w:val="12"/>
              </w:rPr>
              <w:t>inovação aberta.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Compartilhamento de conhecimento, gestão do conhecimento e confiança, criatividade, jogo, laços fracos</w:t>
            </w:r>
          </w:p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TIC</w:t>
            </w:r>
          </w:p>
        </w:tc>
      </w:tr>
      <w:tr w:rsidR="00020A46" w:rsidRPr="00326B56" w:rsidTr="00661501">
        <w:tc>
          <w:tcPr>
            <w:tcW w:w="0" w:type="auto"/>
          </w:tcPr>
          <w:p w:rsidR="00F574EF" w:rsidRPr="00326B56" w:rsidRDefault="00F574EF" w:rsidP="00020A46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F574EF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Watkins (2010)</w:t>
            </w:r>
          </w:p>
          <w:p w:rsidR="00F574EF" w:rsidRPr="00326B56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F574EF" w:rsidRPr="00326B56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London School of Economics and Political Science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Review of Policy Research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The Venture Capital Perspective on Collaboration with Large Corporations/MNEs in London and the South East: Pursuing Extra-Regional Knowledge and the</w:t>
            </w:r>
            <w:r w:rsidR="00020A46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 xml:space="preserve"> </w:t>
            </w:r>
            <w:r w:rsidRPr="00326B56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Shaping of  Regional Venture Capital Networks?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Como, porquê e em que circunstâncias é que empresas independentes de venture capital se envolvem em</w:t>
            </w:r>
            <w:r w:rsidR="005C5CCB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parcerias com grandes corporações?</w:t>
            </w:r>
          </w:p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F574EF" w:rsidRPr="00326B56" w:rsidRDefault="00F574EF" w:rsidP="005C5CC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Explora</w:t>
            </w:r>
            <w:r w:rsidR="005C5CCB">
              <w:rPr>
                <w:rFonts w:ascii="Times New Roman" w:hAnsi="Times New Roman" w:cs="Times New Roman"/>
                <w:sz w:val="12"/>
                <w:szCs w:val="12"/>
              </w:rPr>
              <w:t>r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 o papel que a colaboração </w:t>
            </w:r>
            <w:r w:rsidR="005C5CCB">
              <w:rPr>
                <w:rFonts w:ascii="Times New Roman" w:hAnsi="Times New Roman" w:cs="Times New Roman"/>
                <w:sz w:val="12"/>
                <w:szCs w:val="12"/>
              </w:rPr>
              <w:t xml:space="preserve"> d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esempenha na busca de</w:t>
            </w:r>
            <w:r w:rsidR="005C5CCB">
              <w:rPr>
                <w:rFonts w:ascii="Times New Roman" w:hAnsi="Times New Roman" w:cs="Times New Roman"/>
                <w:sz w:val="12"/>
                <w:szCs w:val="12"/>
              </w:rPr>
              <w:t xml:space="preserve"> c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onhecimento </w:t>
            </w:r>
            <w:r w:rsidR="005C5CCB">
              <w:rPr>
                <w:rFonts w:ascii="Times New Roman" w:hAnsi="Times New Roman" w:cs="Times New Roman"/>
                <w:sz w:val="12"/>
                <w:szCs w:val="12"/>
              </w:rPr>
              <w:t>extra-regional.</w:t>
            </w:r>
          </w:p>
        </w:tc>
        <w:tc>
          <w:tcPr>
            <w:tcW w:w="0" w:type="auto"/>
            <w:vAlign w:val="center"/>
          </w:tcPr>
          <w:p w:rsidR="00F574EF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Foram aplicadas 30 entrevistas em profundidade. </w:t>
            </w:r>
          </w:p>
          <w:p w:rsidR="00F574EF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___  </w:t>
            </w:r>
          </w:p>
          <w:p w:rsidR="00F574EF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Empresas de Venture Capital que formaram redes com grandes empresas.</w:t>
            </w:r>
          </w:p>
          <w:p w:rsidR="00F574EF" w:rsidRPr="00326B56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020A46" w:rsidRDefault="00020A46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20A46" w:rsidRDefault="00020A46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20A46" w:rsidRDefault="00020A46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20A46" w:rsidRDefault="00020A46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A colaboração entre empresas de venture capital e grandes corporações tornou-se um importante mecanismo de investimento e fluxo de negócios para a região e tem aumentado frequentemente;</w:t>
            </w:r>
            <w:r w:rsidR="00020A46">
              <w:rPr>
                <w:rFonts w:ascii="Times New Roman" w:hAnsi="Times New Roman" w:cs="Times New Roman"/>
                <w:sz w:val="12"/>
                <w:szCs w:val="12"/>
              </w:rPr>
              <w:t xml:space="preserve"> A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 colaboração para o desenvolvimento de spin-outs é ostentada.</w:t>
            </w:r>
            <w:r w:rsidR="00020A46">
              <w:rPr>
                <w:rFonts w:ascii="Times New Roman" w:hAnsi="Times New Roman" w:cs="Times New Roman"/>
                <w:sz w:val="12"/>
                <w:szCs w:val="12"/>
              </w:rPr>
              <w:t xml:space="preserve"> A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través destas parcerias estratégicas são trocados informações, conhecimentos e experiências, cujos apontam estar mais proeminentes nas ciências da vida – que apresenta arranjos mais complexos.</w:t>
            </w:r>
            <w:r w:rsidR="00020A4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Em vez de ser participantes ocasionais, as </w:t>
            </w:r>
            <w:r w:rsidR="00020A46">
              <w:rPr>
                <w:rFonts w:ascii="Times New Roman" w:hAnsi="Times New Roman" w:cs="Times New Roman"/>
                <w:sz w:val="12"/>
                <w:szCs w:val="12"/>
              </w:rPr>
              <w:t>c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orporações estão cada vez mais frequentes nas redes de venture capital.</w:t>
            </w:r>
          </w:p>
          <w:p w:rsidR="00020A46" w:rsidRDefault="00020A46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20A46" w:rsidRDefault="00020A46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20A46" w:rsidRDefault="00020A46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20A46" w:rsidRDefault="00020A46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20A46" w:rsidRDefault="00020A46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20A46" w:rsidRDefault="00020A46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20A46" w:rsidRPr="00326B56" w:rsidRDefault="00020A46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Compartilhamento de conhecimento</w:t>
            </w:r>
          </w:p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Sistemas Regionais de Inovação</w:t>
            </w:r>
          </w:p>
          <w:p w:rsidR="00F574EF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Crowdsourcing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–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 TIC</w:t>
            </w:r>
          </w:p>
          <w:p w:rsidR="00F574EF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0A46" w:rsidRPr="00326B56" w:rsidTr="00661501">
        <w:tc>
          <w:tcPr>
            <w:tcW w:w="0" w:type="auto"/>
          </w:tcPr>
          <w:p w:rsidR="00F574EF" w:rsidRPr="00326B56" w:rsidRDefault="00F574EF" w:rsidP="00020A46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lastRenderedPageBreak/>
              <w:t>5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Siedlok (2010)</w:t>
            </w:r>
          </w:p>
          <w:p w:rsidR="00F574EF" w:rsidRPr="00326B56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F574EF" w:rsidRPr="00326B56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Cranfield University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Technology Analysis &amp; Strategic Management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Convergence and reorientation via open</w:t>
            </w:r>
          </w:p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innovation: the emergence of nutraceuticals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A pesquisa genômica oferece uma nova lógica de organização</w:t>
            </w:r>
          </w:p>
          <w:p w:rsidR="00F574EF" w:rsidRPr="00326B56" w:rsidRDefault="00F574EF" w:rsidP="006B60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além das fronteiras tradicionais da firma em diferentes níveis: inter-organizacional, inter-industrial e inter-institucional para fins de inovação?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Explorar o surgimento da industria de nutraceuticos como uma inovação das ciências da vida partindo das parcerias inter-industriais.</w:t>
            </w:r>
          </w:p>
        </w:tc>
        <w:tc>
          <w:tcPr>
            <w:tcW w:w="0" w:type="auto"/>
            <w:vAlign w:val="center"/>
          </w:tcPr>
          <w:p w:rsidR="00F574EF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Buscaram-se evidencias empíricas da existência de redes de inovação em meios de comunicação ligados ao setor. Listaram 31 casos de empresas e o escopo da rede na qual participa.</w:t>
            </w:r>
          </w:p>
          <w:p w:rsidR="00F574EF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___ </w:t>
            </w:r>
          </w:p>
          <w:p w:rsidR="00F574EF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Redes de Inovação do Setor de Nutraceuticos</w:t>
            </w:r>
          </w:p>
          <w:p w:rsidR="00F574EF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Pr="00326B56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A indústria nutracêutica depende de acordos de colaboração (redes)</w:t>
            </w:r>
            <w:r w:rsidR="00020A4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entre um grande número de indústrias e organizações.</w:t>
            </w:r>
            <w:r w:rsidR="00020A46">
              <w:rPr>
                <w:rFonts w:ascii="Times New Roman" w:hAnsi="Times New Roman" w:cs="Times New Roman"/>
                <w:sz w:val="12"/>
                <w:szCs w:val="12"/>
              </w:rPr>
              <w:t xml:space="preserve">  A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 pesquisa genômica fornece</w:t>
            </w:r>
            <w:r w:rsidR="00020A4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uma nova lógica de organização para além das fronteiras tradicionais da firma em diferentes níveis para os fins</w:t>
            </w:r>
            <w:r w:rsidR="00020A4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da inovação.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Traz questões biotecnológicas e legislativas específicas.</w:t>
            </w:r>
          </w:p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Compartilhamento de conhecimento</w:t>
            </w:r>
            <w:r w:rsidR="006B6001">
              <w:rPr>
                <w:rFonts w:ascii="Times New Roman" w:hAnsi="Times New Roman" w:cs="Times New Roman"/>
                <w:sz w:val="12"/>
                <w:szCs w:val="12"/>
              </w:rPr>
              <w:t xml:space="preserve">s diferenciados entre participantes de setores diferentes. </w:t>
            </w:r>
          </w:p>
        </w:tc>
      </w:tr>
      <w:tr w:rsidR="00020A46" w:rsidRPr="00326B56" w:rsidTr="00661501">
        <w:tc>
          <w:tcPr>
            <w:tcW w:w="0" w:type="auto"/>
          </w:tcPr>
          <w:p w:rsidR="00F574EF" w:rsidRPr="00326B56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vAlign w:val="center"/>
          </w:tcPr>
          <w:p w:rsidR="00F574EF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Hughes e Wareham (2010)</w:t>
            </w:r>
          </w:p>
          <w:p w:rsidR="00F574EF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Pr="00326B56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Pr="00326B56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ESADE, Barcelona,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Espanha</w:t>
            </w:r>
          </w:p>
          <w:p w:rsidR="00F574EF" w:rsidRPr="00326B56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6B6001">
              <w:rPr>
                <w:rFonts w:ascii="Times New Roman" w:hAnsi="Times New Roman" w:cs="Times New Roman"/>
                <w:sz w:val="12"/>
                <w:szCs w:val="12"/>
              </w:rPr>
              <w:t>R&amp;D Managemen</w:t>
            </w: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t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Knowledge arbitrage in global</w:t>
            </w:r>
            <w:r w:rsidR="00020A4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pharma: a synthetic view of</w:t>
            </w:r>
            <w:r w:rsidR="00020A4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absorptive capacity and open</w:t>
            </w:r>
            <w:r w:rsidR="00020A4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innovation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Quais conceitos de In</w:t>
            </w:r>
            <w:r w:rsidR="006B6001">
              <w:rPr>
                <w:rFonts w:ascii="Times New Roman" w:hAnsi="Times New Roman" w:cs="Times New Roman"/>
                <w:sz w:val="12"/>
                <w:szCs w:val="12"/>
              </w:rPr>
              <w:t>ovação aberta são salientes no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 processo de inovação?</w:t>
            </w:r>
          </w:p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Quais conceitos de inovação aberta são utilizados na formulação da estratégia? Que conceitos devem estar presentes para aumentar a inovação aberta?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6B60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Delinear como os conceitos de inovação aberta são realmente usados e como complementam as carteiras de estratégia</w:t>
            </w:r>
            <w:r w:rsidR="006B6001">
              <w:rPr>
                <w:rFonts w:ascii="Times New Roman" w:hAnsi="Times New Roman" w:cs="Times New Roman"/>
                <w:sz w:val="12"/>
                <w:szCs w:val="12"/>
              </w:rPr>
              <w:t xml:space="preserve"> empresariais.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Foram realizadas 120 entrevistas com gerentes</w:t>
            </w:r>
            <w:r w:rsidR="006B6001">
              <w:rPr>
                <w:rFonts w:ascii="Times New Roman" w:hAnsi="Times New Roman" w:cs="Times New Roman"/>
                <w:sz w:val="12"/>
                <w:szCs w:val="12"/>
              </w:rPr>
              <w:t xml:space="preserve"> da empresa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;</w:t>
            </w:r>
          </w:p>
          <w:p w:rsidR="00F574EF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Foram analisados arquivos de documentos, incluindo</w:t>
            </w:r>
            <w:r w:rsidR="00020A4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atas de reuniões e documentos estratégicos finais;</w:t>
            </w:r>
            <w:r w:rsidR="00020A4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e também</w:t>
            </w:r>
            <w:r w:rsidR="006B6001"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 se utilizou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 da etnografia, perfazendo 500 horas de</w:t>
            </w:r>
            <w:r w:rsidR="00020A4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observação. Adotou-se um compromisso entre pesquisa pré-ordenada</w:t>
            </w:r>
            <w:r w:rsidR="00020A4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e a variante straussiana de “grounded theory”.</w:t>
            </w:r>
          </w:p>
          <w:p w:rsidR="00F574EF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___ </w:t>
            </w:r>
          </w:p>
          <w:p w:rsidR="00F574EF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Estudo de Caso de uma empresa farmacêutica global.</w:t>
            </w:r>
          </w:p>
          <w:p w:rsidR="00F574EF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Pr="00326B56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020A46" w:rsidRPr="00326B56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 Propõem um modelo de análise da capacidade absortiva no contexto de inovação aberta;</w:t>
            </w:r>
            <w:r w:rsidR="00020A4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6B6001">
              <w:rPr>
                <w:rFonts w:ascii="Times New Roman" w:hAnsi="Times New Roman" w:cs="Times New Roman"/>
                <w:sz w:val="12"/>
                <w:szCs w:val="12"/>
              </w:rPr>
              <w:t>E</w:t>
            </w:r>
            <w:r w:rsidR="006B6001" w:rsidRPr="00326B56">
              <w:rPr>
                <w:rFonts w:ascii="Times New Roman" w:hAnsi="Times New Roman" w:cs="Times New Roman"/>
                <w:sz w:val="12"/>
                <w:szCs w:val="12"/>
              </w:rPr>
              <w:t>stratégia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 de inovação aberta é </w:t>
            </w:r>
            <w:r w:rsidR="006B6001">
              <w:rPr>
                <w:rFonts w:ascii="Times New Roman" w:hAnsi="Times New Roman" w:cs="Times New Roman"/>
                <w:sz w:val="12"/>
                <w:szCs w:val="12"/>
              </w:rPr>
              <w:t>“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como uma capacidade</w:t>
            </w:r>
            <w:r w:rsidR="006B6001">
              <w:rPr>
                <w:rFonts w:ascii="Times New Roman" w:hAnsi="Times New Roman" w:cs="Times New Roman"/>
                <w:sz w:val="12"/>
                <w:szCs w:val="12"/>
              </w:rPr>
              <w:t>”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="00020A4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desenvolvida através da </w:t>
            </w:r>
            <w:r w:rsidR="00020A46">
              <w:rPr>
                <w:rFonts w:ascii="Times New Roman" w:hAnsi="Times New Roman" w:cs="Times New Roman"/>
                <w:sz w:val="12"/>
                <w:szCs w:val="12"/>
              </w:rPr>
              <w:t xml:space="preserve"> a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prendizagem experimental e partilha das melhores práticas.</w:t>
            </w:r>
            <w:r w:rsidR="00020A46">
              <w:rPr>
                <w:rFonts w:ascii="Times New Roman" w:hAnsi="Times New Roman" w:cs="Times New Roman"/>
                <w:sz w:val="12"/>
                <w:szCs w:val="12"/>
              </w:rPr>
              <w:t xml:space="preserve"> C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onexão interna e externa com clientes melhora e alarga a rede de colaboração;</w:t>
            </w:r>
            <w:r w:rsidR="00020A46">
              <w:rPr>
                <w:rFonts w:ascii="Times New Roman" w:hAnsi="Times New Roman" w:cs="Times New Roman"/>
                <w:sz w:val="12"/>
                <w:szCs w:val="12"/>
              </w:rPr>
              <w:t xml:space="preserve"> E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nfatizam a partilha de conhecimentos externos, a capacidade de saída rara</w:t>
            </w:r>
            <w:r w:rsidR="00020A46">
              <w:rPr>
                <w:rFonts w:ascii="Times New Roman" w:hAnsi="Times New Roman" w:cs="Times New Roman"/>
                <w:sz w:val="12"/>
                <w:szCs w:val="12"/>
              </w:rPr>
              <w:t>mente examinada pela literatura.</w:t>
            </w:r>
          </w:p>
          <w:p w:rsidR="00F574EF" w:rsidRPr="00326B56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Capacidade absortiva</w:t>
            </w:r>
          </w:p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Compartilhamento de conhecimento</w:t>
            </w:r>
          </w:p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Complementaridade de conhecimentos</w:t>
            </w:r>
          </w:p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Partilha</w:t>
            </w:r>
            <w:r w:rsidR="006B6001">
              <w:rPr>
                <w:rFonts w:ascii="Times New Roman" w:hAnsi="Times New Roman" w:cs="Times New Roman"/>
                <w:sz w:val="12"/>
                <w:szCs w:val="12"/>
              </w:rPr>
              <w:t xml:space="preserve"> de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 melhores práticas</w:t>
            </w:r>
          </w:p>
        </w:tc>
      </w:tr>
      <w:tr w:rsidR="00020A46" w:rsidRPr="00326B56" w:rsidTr="00661501">
        <w:tc>
          <w:tcPr>
            <w:tcW w:w="0" w:type="auto"/>
          </w:tcPr>
          <w:p w:rsidR="00F574EF" w:rsidRPr="00326B56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Chiaroni </w:t>
            </w:r>
            <w:r w:rsidR="006D323D">
              <w:rPr>
                <w:rFonts w:ascii="Times New Roman" w:hAnsi="Times New Roman" w:cs="Times New Roman"/>
                <w:sz w:val="12"/>
                <w:szCs w:val="12"/>
              </w:rPr>
              <w:t>et al.,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, (2010)</w:t>
            </w:r>
          </w:p>
          <w:p w:rsidR="00F574EF" w:rsidRPr="00326B56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Pr="00326B56" w:rsidRDefault="00F574EF" w:rsidP="00F53F0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Politecnico di Milano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R&amp;D Management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Unravelling the process from Closed</w:t>
            </w:r>
            <w:r w:rsidR="00020A4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to Open Innovation: evidence from</w:t>
            </w:r>
            <w:r w:rsidR="00020A4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mature, asset-intensive industries</w:t>
            </w:r>
            <w:r w:rsidR="00020A4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6B60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O que muda na estrutura da organização e no sistema de gestão quando ocorre a mudança</w:t>
            </w:r>
            <w:r w:rsidR="006B6001">
              <w:rPr>
                <w:rFonts w:ascii="Times New Roman" w:hAnsi="Times New Roman" w:cs="Times New Roman"/>
                <w:sz w:val="12"/>
                <w:szCs w:val="12"/>
              </w:rPr>
              <w:t xml:space="preserve"> de processo de inovação fechada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 para a inovação aberta?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Descrever as mudanças causadas pela mudanças de paradigma.</w:t>
            </w:r>
          </w:p>
        </w:tc>
        <w:tc>
          <w:tcPr>
            <w:tcW w:w="0" w:type="auto"/>
            <w:vAlign w:val="center"/>
          </w:tcPr>
          <w:p w:rsidR="00F574EF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Estudos de casos múltiplos – longitudinal. A escolha das empresas se deu através de uma triagem preliminar em bases de dados italianas especializadas. Os gerentes de todas as empresas identificadas foram convidados a participar de um workshop, onde eles poderiam ilustrar</w:t>
            </w:r>
            <w:r w:rsidR="00020A4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sua abordagem à inovação. Depois foram realizadas entrevistas com pessoas que tinham diferentes papeis e responsabilidades em termos de inovação. Estas foram gravadas e transcritas.  Dados secundários foram extraídos de documentos da empresa.</w:t>
            </w:r>
          </w:p>
          <w:p w:rsidR="00F574EF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___ </w:t>
            </w:r>
          </w:p>
          <w:p w:rsidR="00F574EF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4  estudos de casos de empresas high-tech maduras com grande volume de ativos (cimento/concreto, tubos de aço, produtos químicos e sistemas de freios automotivos).</w:t>
            </w:r>
          </w:p>
          <w:p w:rsidR="00F574EF" w:rsidRPr="00326B56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F574EF" w:rsidRPr="00326B56" w:rsidRDefault="00F574EF" w:rsidP="006B6001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Os resultados mostram que a mudança da inovação fechada para a inovação aberta  envolve quatro dimensões principais da organização: redes inter- organizacionais, estruturas organizacionais, processos de avaliação e sistemas de gestão do conhecimento, ao longo do qual a mudança pode ser gerida e estimulada.</w:t>
            </w:r>
            <w:r w:rsidR="00020A4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Criaram um framework de análise;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Mudança organizacional</w:t>
            </w:r>
          </w:p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Gestão do conhecimento</w:t>
            </w:r>
          </w:p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TIC</w:t>
            </w:r>
          </w:p>
        </w:tc>
      </w:tr>
      <w:tr w:rsidR="00020A46" w:rsidRPr="00326B56" w:rsidTr="00661501">
        <w:tc>
          <w:tcPr>
            <w:tcW w:w="0" w:type="auto"/>
          </w:tcPr>
          <w:p w:rsidR="00F574EF" w:rsidRPr="00326B56" w:rsidRDefault="00F574EF" w:rsidP="00020A4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:rsidR="00F574EF" w:rsidRDefault="00F574EF" w:rsidP="00F574EF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 xml:space="preserve">Han </w:t>
            </w:r>
            <w:r w:rsidR="006D323D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et al.,</w:t>
            </w:r>
            <w:r w:rsidR="00F53F0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 xml:space="preserve"> </w:t>
            </w:r>
            <w:r w:rsidRPr="00326B56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(2012)</w:t>
            </w:r>
          </w:p>
          <w:p w:rsidR="00F574EF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Faculty of 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M</w:t>
            </w: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anagement, Montreal </w:t>
            </w:r>
          </w:p>
          <w:p w:rsidR="00F574EF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Can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</w:t>
            </w: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dá</w:t>
            </w:r>
          </w:p>
          <w:p w:rsidR="00F574EF" w:rsidRPr="00326B56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Yonsei </w:t>
            </w:r>
            <w:r w:rsidR="00020A4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K</w:t>
            </w: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orea</w:t>
            </w:r>
          </w:p>
          <w:p w:rsidR="00F574EF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Singapore 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Management University </w:t>
            </w:r>
          </w:p>
          <w:p w:rsidR="00F574EF" w:rsidRPr="00326B56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S</w:t>
            </w: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ingapura</w:t>
            </w:r>
          </w:p>
          <w:p w:rsidR="00F574EF" w:rsidRPr="00326B56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McGill University </w:t>
            </w: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Canada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i/>
                <w:iCs/>
                <w:sz w:val="12"/>
                <w:szCs w:val="12"/>
                <w:lang w:val="en-US"/>
              </w:rPr>
              <w:t>MIS Quarterly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Value cocreation and wealth spillover in open innovation alliances</w:t>
            </w:r>
          </w:p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Como o mercado</w:t>
            </w:r>
          </w:p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avalia a decisão estratégica de uma empresa em participar de uma aliança de inovação aberta?</w:t>
            </w:r>
          </w:p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Qual é o impacto sobre as avaliações de mercado das empresas que</w:t>
            </w:r>
          </w:p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já participam da AIA quando um líder de mercado junta-se</w:t>
            </w:r>
          </w:p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aliança existente?</w:t>
            </w:r>
          </w:p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Investigar o valor econômico e estratégico d</w:t>
            </w:r>
            <w:r w:rsidR="006B6001">
              <w:rPr>
                <w:rFonts w:ascii="Times New Roman" w:hAnsi="Times New Roman" w:cs="Times New Roman"/>
                <w:sz w:val="12"/>
                <w:szCs w:val="12"/>
              </w:rPr>
              <w:t>e alianças de inovação aberta (A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IAs), onde  concorrentes integram-se na busca do co-desenvolvimento de  inovações tecnológicas.</w:t>
            </w:r>
          </w:p>
        </w:tc>
        <w:tc>
          <w:tcPr>
            <w:tcW w:w="0" w:type="auto"/>
            <w:vAlign w:val="center"/>
          </w:tcPr>
          <w:p w:rsidR="00F574EF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Survey com 194 empresas.Foram criadas hipóteses que foram testadas. </w:t>
            </w:r>
          </w:p>
          <w:p w:rsidR="00F574EF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___  </w:t>
            </w:r>
          </w:p>
          <w:p w:rsidR="00F574EF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Pr="00326B56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Empresas que participavam de Alianças para </w:t>
            </w:r>
            <w:r w:rsidR="00B93C64">
              <w:rPr>
                <w:rFonts w:ascii="Times New Roman" w:hAnsi="Times New Roman" w:cs="Times New Roman"/>
                <w:i/>
                <w:sz w:val="12"/>
                <w:szCs w:val="12"/>
              </w:rPr>
              <w:t>open i</w:t>
            </w:r>
            <w:r w:rsidRPr="001C2668">
              <w:rPr>
                <w:rFonts w:ascii="Times New Roman" w:hAnsi="Times New Roman" w:cs="Times New Roman"/>
                <w:i/>
                <w:sz w:val="12"/>
                <w:szCs w:val="12"/>
              </w:rPr>
              <w:t>nnovatio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n de diversos setores.</w:t>
            </w:r>
          </w:p>
        </w:tc>
        <w:tc>
          <w:tcPr>
            <w:tcW w:w="0" w:type="auto"/>
            <w:vAlign w:val="center"/>
          </w:tcPr>
          <w:p w:rsidR="00F574EF" w:rsidRDefault="00F574EF" w:rsidP="00661501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 Empresas apresentaram significativos retornos positivos anormais  quando tornaram pública a sua entrada na aliança de inovação aberta;</w:t>
            </w:r>
            <w:r w:rsidR="00661501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 Retornos excessivos são gerados quando uma empresa líder de mercado passa a fazer parte da aliança tardiamente; Tipo de inovação e abertura</w:t>
            </w:r>
            <w:r w:rsidR="006B6001">
              <w:rPr>
                <w:rFonts w:ascii="Times New Roman" w:hAnsi="Times New Roman" w:cs="Times New Roman"/>
                <w:sz w:val="12"/>
                <w:szCs w:val="12"/>
              </w:rPr>
              <w:t xml:space="preserve"> do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processo de inovação foi significativamente associado com a quantidade de retornos anormais acumulados pelas empresas aliadas.</w:t>
            </w:r>
            <w:r w:rsidR="00661501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Propõem que AIAs não tem as mesmas características das alianças estratégicas convencionais.</w:t>
            </w:r>
            <w:r w:rsidR="00661501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:rsidR="00F574EF" w:rsidRDefault="00F574EF" w:rsidP="00661501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Pr="00326B56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Aprendizagem organizacional</w:t>
            </w:r>
          </w:p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VBR</w:t>
            </w:r>
          </w:p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TIC</w:t>
            </w:r>
          </w:p>
          <w:p w:rsidR="00F574EF" w:rsidRPr="00326B56" w:rsidRDefault="006B6001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Co</w:t>
            </w:r>
            <w:r w:rsidR="00F574EF" w:rsidRPr="00326B56">
              <w:rPr>
                <w:rFonts w:ascii="Times New Roman" w:hAnsi="Times New Roman" w:cs="Times New Roman"/>
                <w:sz w:val="12"/>
                <w:szCs w:val="12"/>
              </w:rPr>
              <w:t>criação</w:t>
            </w:r>
          </w:p>
        </w:tc>
      </w:tr>
      <w:tr w:rsidR="00020A46" w:rsidRPr="00326B56" w:rsidTr="00661501">
        <w:tc>
          <w:tcPr>
            <w:tcW w:w="0" w:type="auto"/>
          </w:tcPr>
          <w:p w:rsidR="00F574EF" w:rsidRPr="00326B56" w:rsidRDefault="00F574EF" w:rsidP="00020A46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9</w:t>
            </w:r>
          </w:p>
        </w:tc>
        <w:tc>
          <w:tcPr>
            <w:tcW w:w="0" w:type="auto"/>
            <w:vAlign w:val="center"/>
          </w:tcPr>
          <w:p w:rsidR="00F574EF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Muhdi e </w:t>
            </w: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lastRenderedPageBreak/>
              <w:t>Boutellier (2011)</w:t>
            </w:r>
          </w:p>
          <w:p w:rsidR="00F574EF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F574EF" w:rsidRPr="00326B56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F574EF" w:rsidRPr="00326B56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Chair of Technology and Innovation Management</w:t>
            </w:r>
          </w:p>
          <w:p w:rsidR="00F574EF" w:rsidRPr="00326B56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Suiça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lastRenderedPageBreak/>
              <w:t xml:space="preserve">International </w:t>
            </w: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lastRenderedPageBreak/>
              <w:t>Journal of Innovation Management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lastRenderedPageBreak/>
              <w:t xml:space="preserve">Motivacional factors </w:t>
            </w: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lastRenderedPageBreak/>
              <w:t>affecting participation and contribution of members in two different Swiss innovation communities</w:t>
            </w:r>
          </w:p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Quais fatores motivacionais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influenciam na participação e na colaboração de comunidades virtuais de inovação? De acordo com natureza da comunidade há aspectos motivacionais diferenciados?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Visa explorar </w:t>
            </w:r>
            <w:r w:rsidR="00B93C64">
              <w:rPr>
                <w:rFonts w:ascii="Times New Roman" w:hAnsi="Times New Roman" w:cs="Times New Roman"/>
                <w:sz w:val="12"/>
                <w:szCs w:val="12"/>
              </w:rPr>
              <w:t xml:space="preserve">a </w:t>
            </w:r>
            <w:r w:rsidR="00B93C64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i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mportância na variação dos fatores motivacionais sobre o sucesso do</w:t>
            </w:r>
          </w:p>
          <w:p w:rsidR="00F574EF" w:rsidRPr="00326B56" w:rsidRDefault="00B93C64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a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plicação</w:t>
            </w:r>
            <w:r w:rsidR="00F574EF"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 de comunidades de inovação intermediárias e das comunidades de inovação internas.</w:t>
            </w:r>
          </w:p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F574EF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Primeiramente utilizou-se um caso de estudo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qualitativo para buscar insights mais profundos sobre fatores que afetam a</w:t>
            </w:r>
            <w:r w:rsidR="00020A4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motivação dos participantes e subsequentemente, foi realizada uma análise quantitativa de dados, utilizando-se uma e-survey (39 fatores motivacionais).</w:t>
            </w:r>
          </w:p>
          <w:p w:rsidR="00F574EF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___</w:t>
            </w:r>
          </w:p>
          <w:p w:rsidR="00F574EF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Pr="00326B56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1) PostFinance é um banco suíço onde trabalham  3.000 pessoas. Em 2010, o PostFinance criou</w:t>
            </w:r>
            <w:r w:rsidR="00020A4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comunidade de inovação interna como um projeto piloto para testar a abordagem de Crowdsourcing</w:t>
            </w:r>
          </w:p>
          <w:p w:rsidR="00F574EF" w:rsidRPr="00326B56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para a geração de </w:t>
            </w:r>
            <w:r w:rsidR="00B93C64" w:rsidRPr="00326B56">
              <w:rPr>
                <w:rFonts w:ascii="Times New Roman" w:hAnsi="Times New Roman" w:cs="Times New Roman"/>
                <w:sz w:val="12"/>
                <w:szCs w:val="12"/>
              </w:rPr>
              <w:t>ideias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 internas. </w:t>
            </w:r>
          </w:p>
          <w:p w:rsidR="00F574EF" w:rsidRPr="00326B56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2) Atizo é uma comunidade intermediária de inovação composta por cerca de 8'000 membros</w:t>
            </w:r>
          </w:p>
          <w:p w:rsidR="00F574EF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com interesses heterogêneos.</w:t>
            </w:r>
          </w:p>
          <w:p w:rsidR="00F574EF" w:rsidRPr="00326B56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F574EF" w:rsidRPr="00326B56" w:rsidRDefault="00661501" w:rsidP="00B93C6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A</w:t>
            </w:r>
            <w:r w:rsidR="00F574EF"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 natureza da comunidade de inovação tem uma </w:t>
            </w:r>
            <w:r w:rsidR="00F574EF" w:rsidRPr="00326B56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influência sobre a motivação e as medidas que potencialmente levam ao maior participação e contribuição </w:t>
            </w:r>
            <w:r w:rsidR="00B93C64">
              <w:rPr>
                <w:rFonts w:ascii="Times New Roman" w:hAnsi="Times New Roman" w:cs="Times New Roman"/>
                <w:sz w:val="12"/>
                <w:szCs w:val="12"/>
              </w:rPr>
              <w:t>para a</w:t>
            </w:r>
            <w:r w:rsidR="00F574EF"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 eficiência.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O</w:t>
            </w:r>
            <w:r w:rsidR="00F574EF" w:rsidRPr="00326B56">
              <w:rPr>
                <w:rFonts w:ascii="Times New Roman" w:hAnsi="Times New Roman" w:cs="Times New Roman"/>
                <w:sz w:val="12"/>
                <w:szCs w:val="12"/>
              </w:rPr>
              <w:t>s fatores que de destacam conforme a natureza da comunidade</w:t>
            </w:r>
            <w:r w:rsidR="00B93C64">
              <w:rPr>
                <w:rFonts w:ascii="Times New Roman" w:hAnsi="Times New Roman" w:cs="Times New Roman"/>
                <w:sz w:val="12"/>
                <w:szCs w:val="12"/>
              </w:rPr>
              <w:t>, ou seja, conforme a natureza na comunidade há fatores motivacionais diferenciados que se destacam.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Motivação</w:t>
            </w:r>
          </w:p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Exploração de conhecimentos e Habilidades</w:t>
            </w:r>
          </w:p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TIC</w:t>
            </w:r>
          </w:p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Crowdsourcing</w:t>
            </w:r>
          </w:p>
        </w:tc>
      </w:tr>
      <w:tr w:rsidR="00020A46" w:rsidRPr="00326B56" w:rsidTr="00661501">
        <w:tc>
          <w:tcPr>
            <w:tcW w:w="0" w:type="auto"/>
          </w:tcPr>
          <w:p w:rsidR="00F574EF" w:rsidRPr="00326B56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10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Buganza </w:t>
            </w:r>
            <w:r w:rsidR="006D323D">
              <w:rPr>
                <w:rFonts w:ascii="Times New Roman" w:hAnsi="Times New Roman" w:cs="Times New Roman"/>
                <w:sz w:val="12"/>
                <w:szCs w:val="12"/>
              </w:rPr>
              <w:t>et al.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, (2011)</w:t>
            </w:r>
          </w:p>
          <w:p w:rsidR="00F574EF" w:rsidRPr="00326B56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Pr="00326B56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Politecnico di Milano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International Journal of Innovation Management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Organizational Implications of Open Innovation: an analysis of inter-industry patterns</w:t>
            </w:r>
          </w:p>
          <w:p w:rsidR="00F574EF" w:rsidRPr="00326B56" w:rsidRDefault="00F574EF" w:rsidP="00020A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A inovação aberta tem um impacto diferente sobre a organização e nos sistemas de gestão de empresas em diferentes indústrias?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Investigar como a inovação aberta afeta a organização e seus sistema de gestão.</w:t>
            </w:r>
          </w:p>
        </w:tc>
        <w:tc>
          <w:tcPr>
            <w:tcW w:w="0" w:type="auto"/>
            <w:vAlign w:val="center"/>
          </w:tcPr>
          <w:p w:rsidR="00F574EF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Estudo de Casos – Entrevista semi-estruturada com ao menos dois gerentes da firma. Os dados secundários foram reunidos em forma de relatórios da empresa e documentação do projeto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e eles foram triangulados com informações retiradas do direto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entrevistas, a fim de melhorar a validade dos construtos. Primeiramente as possíveis empresas que se utilizavam de inovação aberta foram procuradas por meio de uma análise sistemática dos jornais italianos e outras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fontes de informação públicas, contando com bases de dados profissionais</w:t>
            </w:r>
            <w:r w:rsidR="00020A4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(www.lexisnexis.com e www.infotrac.com) e usando as seguintes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palavras-chave de pesquisa: "inovação aberta", "gestão de IP", "colaborações tecnológicas",</w:t>
            </w:r>
            <w:r w:rsidR="00020A4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"Spin off", etc. Foi elaborada uma lista com 12 empresas e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gerentes seniores de cada empresa</w:t>
            </w:r>
            <w:r w:rsidR="00B93C64">
              <w:rPr>
                <w:rFonts w:ascii="Times New Roman" w:hAnsi="Times New Roman" w:cs="Times New Roman"/>
                <w:sz w:val="12"/>
                <w:szCs w:val="12"/>
              </w:rPr>
              <w:t>. O gerente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 foi contatado por telefone para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avaliar a sua aptidão para a pesquisa. Durante esta entrevista, fez-se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questões preliminares para entender se a empresa pode ser considerada como um exemplo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de inovadora aberta. Por fim, a amostra ficou composta por 8 empresas. Pediu-se a 3 professores de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estão Estratégica 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Gestão da Inovação na  Universidade para classificar as empresas </w:t>
            </w:r>
            <w:r w:rsidR="00B93C64">
              <w:rPr>
                <w:rFonts w:ascii="Times New Roman" w:hAnsi="Times New Roman" w:cs="Times New Roman"/>
                <w:sz w:val="12"/>
                <w:szCs w:val="12"/>
              </w:rPr>
              <w:t>da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 amostra em um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B93C64">
              <w:rPr>
                <w:rFonts w:ascii="Times New Roman" w:hAnsi="Times New Roman" w:cs="Times New Roman"/>
                <w:sz w:val="12"/>
                <w:szCs w:val="12"/>
              </w:rPr>
              <w:t xml:space="preserve">dos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três níveis de escala (baixa, média e alta), com base nas definições da OCDE quanto a relação com P&amp;D.</w:t>
            </w:r>
          </w:p>
          <w:p w:rsidR="00F574EF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___  </w:t>
            </w:r>
          </w:p>
          <w:p w:rsidR="00F574EF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Pr="00326B56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8 grande empresas italianas de setores heterogêneos.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661501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A análise empírica mostra que algumas empresas passaram a integrar redes interorganizacionais, caracterizadas por ligações fortes e pela presença de vários atores heterogêneos, tais como clientes, fornecedores e universidades. </w:t>
            </w:r>
            <w:r w:rsidR="00661501">
              <w:rPr>
                <w:rFonts w:ascii="Times New Roman" w:hAnsi="Times New Roman" w:cs="Times New Roman"/>
                <w:sz w:val="12"/>
                <w:szCs w:val="12"/>
              </w:rPr>
              <w:t>P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ercebeu-se que algumas as empresas criaram unidades dedicadas para institucionalizar processos de seleção estruturada e formalizada para gerenciar projetos de inovação aberta. Outras empresas, em vez de integrar redes, estabeleceram laços fracos com as instituições públicas de pesquisa</w:t>
            </w:r>
            <w:r w:rsidR="00B93C64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 centros ou universidades.</w:t>
            </w:r>
            <w:r w:rsidR="00661501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A pesquisa </w:t>
            </w:r>
          </w:p>
          <w:p w:rsidR="00F574EF" w:rsidRPr="00326B56" w:rsidRDefault="00F574EF" w:rsidP="00B93C6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mostra que as empresas estão em conformidade com os princípios do novo paradigma da gestão da inovação de acordo com as características do contexto em que operam.</w:t>
            </w:r>
            <w:r w:rsidR="00B93C64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B93C64" w:rsidRPr="00B93C64">
              <w:rPr>
                <w:rFonts w:ascii="Times New Roman" w:hAnsi="Times New Roman" w:cs="Times New Roman"/>
                <w:sz w:val="12"/>
                <w:szCs w:val="12"/>
              </w:rPr>
              <w:t>Redes são alternativas de gestão para projetos de Inovação aberta.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Acesso a conhecimentos externos e tecnologias;</w:t>
            </w:r>
          </w:p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Colaboração exploratória e colaboração exploradora</w:t>
            </w:r>
          </w:p>
        </w:tc>
      </w:tr>
      <w:tr w:rsidR="00020A46" w:rsidRPr="00326B56" w:rsidTr="00661501">
        <w:trPr>
          <w:trHeight w:val="1837"/>
        </w:trPr>
        <w:tc>
          <w:tcPr>
            <w:tcW w:w="0" w:type="auto"/>
          </w:tcPr>
          <w:p w:rsidR="00F574EF" w:rsidRPr="00326B56" w:rsidRDefault="00F574EF" w:rsidP="00020A46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11</w:t>
            </w:r>
          </w:p>
        </w:tc>
        <w:tc>
          <w:tcPr>
            <w:tcW w:w="0" w:type="auto"/>
            <w:vAlign w:val="center"/>
          </w:tcPr>
          <w:p w:rsidR="00F574EF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Chiaroni at al., </w:t>
            </w:r>
            <w:r w:rsidR="00F53F0A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2009</w:t>
            </w:r>
            <w:r w:rsidR="00F53F0A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  <w:p w:rsidR="00F574EF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Pr="00326B56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Pr="00326B56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Politecnico di Milano</w:t>
            </w:r>
          </w:p>
          <w:p w:rsidR="00F574EF" w:rsidRPr="00326B56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Technovation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The Open Innovation Journey: How firms dynamically implement the emerging innovation management paradigm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B93C6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Como as empresas programam a inovação aberta na prática?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Compreender a relevância da inovação aberta além das empresas high-tech e estudar como a inovação aberta é implementada na prática.</w:t>
            </w:r>
          </w:p>
        </w:tc>
        <w:tc>
          <w:tcPr>
            <w:tcW w:w="0" w:type="auto"/>
            <w:vAlign w:val="center"/>
          </w:tcPr>
          <w:p w:rsidR="00F574EF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Estudo de caso em profundidade. Foram identificadas 10 empresas em uma base </w:t>
            </w:r>
            <w:r w:rsidR="00B93C64">
              <w:rPr>
                <w:rFonts w:ascii="Times New Roman" w:hAnsi="Times New Roman" w:cs="Times New Roman"/>
                <w:sz w:val="12"/>
                <w:szCs w:val="12"/>
              </w:rPr>
              <w:t xml:space="preserve">de dados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profissional</w:t>
            </w:r>
            <w:r w:rsidR="00B93C64">
              <w:rPr>
                <w:rFonts w:ascii="Times New Roman" w:hAnsi="Times New Roman" w:cs="Times New Roman"/>
                <w:sz w:val="12"/>
                <w:szCs w:val="12"/>
              </w:rPr>
              <w:t>, onde estão cadastradas como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 usuárias de open innovation. Os gestores destas empresas foram convidados a participar de um workshop onde foi relatada a implementação da inovação aberta na empresa e ouve espaço para discussão. </w:t>
            </w:r>
            <w:r w:rsidR="00020A4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Finalmente selecionou-se apenas uma empresa. Foram aplicadas entrevistas e utilizou-se também dados secundários advindos de documentos da empresa para realizar a triangulação de dados.</w:t>
            </w:r>
          </w:p>
          <w:p w:rsidR="00F574EF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___  </w:t>
            </w:r>
          </w:p>
          <w:p w:rsidR="00F574EF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Fabricante de cimento italiana – líder </w:t>
            </w:r>
            <w:r w:rsidR="00020A46">
              <w:rPr>
                <w:rFonts w:ascii="Times New Roman" w:hAnsi="Times New Roman" w:cs="Times New Roman"/>
                <w:sz w:val="12"/>
                <w:szCs w:val="12"/>
              </w:rPr>
              <w:t xml:space="preserve">do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segmento.</w:t>
            </w:r>
          </w:p>
          <w:p w:rsidR="00F574EF" w:rsidRPr="00326B56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F574EF" w:rsidRPr="00326B56" w:rsidRDefault="00F574EF" w:rsidP="00661501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A inovação aberta é implementada ao longo de um processo de três fases: descongelamento, movimento e  institucionalização. Além disso, verificou-se que as principais mudanças induzidas pela inovação aberta envolvem quatro dimensões principais:  redes (chave facilitadora para o novo paradigma), estruturas organizacionais, processos de avaliação e sistemas de gestão do conhecimento.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TI- Sistemas de Gestão do Conhecimento</w:t>
            </w:r>
          </w:p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0A46" w:rsidRPr="00326B56" w:rsidTr="00661501">
        <w:tc>
          <w:tcPr>
            <w:tcW w:w="0" w:type="auto"/>
          </w:tcPr>
          <w:p w:rsidR="00F574EF" w:rsidRPr="00326B56" w:rsidRDefault="00F574EF" w:rsidP="00020A46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12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Jarvenpaa e Wernick (2011)</w:t>
            </w:r>
          </w:p>
          <w:p w:rsidR="00F574EF" w:rsidRPr="00326B56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F574EF" w:rsidRPr="00326B56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University of Texas at Austin – USA</w:t>
            </w:r>
          </w:p>
          <w:p w:rsidR="00F574EF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Aalto University </w:t>
            </w:r>
          </w:p>
          <w:p w:rsidR="00F574EF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Pr="00326B56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Finlandia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European Journal of Innovation</w:t>
            </w:r>
          </w:p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Management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Paradoxical tensions in open</w:t>
            </w:r>
          </w:p>
          <w:p w:rsidR="00F574EF" w:rsidRPr="00326B56" w:rsidRDefault="00F574EF" w:rsidP="00020A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innovation networks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Quais tensões estão presentes em redes de inovação aberta e como elas são gerenciadas?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Avançar no paradoxo gerencial da aplicação de redes de inovação aberta.</w:t>
            </w:r>
          </w:p>
        </w:tc>
        <w:tc>
          <w:tcPr>
            <w:tcW w:w="0" w:type="auto"/>
            <w:vAlign w:val="center"/>
          </w:tcPr>
          <w:p w:rsidR="00F574EF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Entrevistas com participantes de 4 redes estruturadas na forma de parcerias público-privadas. </w:t>
            </w:r>
          </w:p>
          <w:p w:rsidR="00F574EF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___ </w:t>
            </w:r>
          </w:p>
          <w:p w:rsidR="00F574EF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Pr="00326B56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Empresas, universidades e agências governamentais</w:t>
            </w:r>
            <w:r w:rsidR="00020A46"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</w:tc>
        <w:tc>
          <w:tcPr>
            <w:tcW w:w="0" w:type="auto"/>
            <w:vAlign w:val="center"/>
          </w:tcPr>
          <w:p w:rsidR="00B93C64" w:rsidRDefault="00F574EF" w:rsidP="00661501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As redes de inovação aberta apresentam muitas das mesmas tensões discutidas em iniciativas de inovação dentro das organizações, mas as complexidades adicionais surgiram, tanto interna quanto externamente. </w:t>
            </w:r>
          </w:p>
          <w:p w:rsidR="00F574EF" w:rsidRPr="00326B56" w:rsidRDefault="00F574EF" w:rsidP="00B93C6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Principais paradoxos</w:t>
            </w:r>
            <w:r w:rsidR="00B93C64">
              <w:rPr>
                <w:rFonts w:ascii="Times New Roman" w:hAnsi="Times New Roman" w:cs="Times New Roman"/>
                <w:sz w:val="12"/>
                <w:szCs w:val="12"/>
              </w:rPr>
              <w:t xml:space="preserve"> -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 Paradoxo da fronteira: orientada para indústria interna x competição global; paradoxo das relações: coesão x diversidade; Paradoxo da propriedade: criação conjunta ou apropriação de retornos; paradoxo da organização: determinada x emergente. 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Tensões paradoxais</w:t>
            </w:r>
          </w:p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0A46" w:rsidRPr="00326B56" w:rsidTr="00661501">
        <w:trPr>
          <w:trHeight w:val="1912"/>
        </w:trPr>
        <w:tc>
          <w:tcPr>
            <w:tcW w:w="0" w:type="auto"/>
          </w:tcPr>
          <w:p w:rsidR="00F574EF" w:rsidRPr="00326B56" w:rsidRDefault="00F574EF" w:rsidP="00020A46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13</w:t>
            </w:r>
          </w:p>
        </w:tc>
        <w:tc>
          <w:tcPr>
            <w:tcW w:w="0" w:type="auto"/>
            <w:vAlign w:val="center"/>
          </w:tcPr>
          <w:p w:rsidR="00F574EF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Wincent </w:t>
            </w:r>
            <w:r w:rsidR="006D323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et al.,</w:t>
            </w: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, (2009)</w:t>
            </w:r>
          </w:p>
          <w:p w:rsidR="00F574EF" w:rsidRPr="00326B56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F574EF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University of Technology </w:t>
            </w:r>
          </w:p>
          <w:p w:rsidR="00F574EF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Suécia</w:t>
            </w:r>
          </w:p>
          <w:p w:rsidR="00F574EF" w:rsidRPr="00326B56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F574EF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Kent State University  EUA</w:t>
            </w:r>
          </w:p>
          <w:p w:rsidR="00F574EF" w:rsidRPr="00326B56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F574EF" w:rsidRPr="00326B56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Umea˚ University  Suécia</w:t>
            </w:r>
          </w:p>
          <w:p w:rsidR="00F574EF" w:rsidRPr="00326B56" w:rsidRDefault="00F574EF" w:rsidP="00020A46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574EF" w:rsidRPr="008E468E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E468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R&amp;D Management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Network board continuity and</w:t>
            </w:r>
            <w:r w:rsidR="00020A4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effectiveness of open innovation</w:t>
            </w:r>
            <w:r w:rsidR="00020A4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in Swedish strategic small-firm</w:t>
            </w:r>
          </w:p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networks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B93C6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A dinâmica do conselho da rede po</w:t>
            </w:r>
            <w:r w:rsidR="00B93C64">
              <w:rPr>
                <w:rFonts w:ascii="Times New Roman" w:hAnsi="Times New Roman" w:cs="Times New Roman"/>
                <w:sz w:val="12"/>
                <w:szCs w:val="12"/>
              </w:rPr>
              <w:t>de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 fazer diferença no desempenho inovador da rede?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Investigar como os conselheiros  devem se organizar para ajudar a melhorar a condição de inovação de participantes da rede.</w:t>
            </w:r>
          </w:p>
        </w:tc>
        <w:tc>
          <w:tcPr>
            <w:tcW w:w="0" w:type="auto"/>
            <w:vAlign w:val="center"/>
          </w:tcPr>
          <w:p w:rsidR="00F574EF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Pesquisa longitudinal – 5 anos através de uma survey eviada por e-mail aos membros do conselho da rede. </w:t>
            </w:r>
          </w:p>
          <w:p w:rsidR="00F574EF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___  </w:t>
            </w:r>
          </w:p>
          <w:p w:rsidR="00F574EF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Pr="00326B56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53 redes de pequenas empresas suecas que buscam P&amp;D através de inovação aberta. </w:t>
            </w:r>
            <w:r w:rsidR="00020A46"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Redes </w:t>
            </w:r>
            <w:r w:rsidR="00020A46">
              <w:rPr>
                <w:rFonts w:ascii="Times New Roman" w:hAnsi="Times New Roman" w:cs="Times New Roman"/>
                <w:sz w:val="12"/>
                <w:szCs w:val="12"/>
              </w:rPr>
              <w:t>que apresentavam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 alguma identidade comum (marca) e um conselho de supervisão de projetos.</w:t>
            </w:r>
            <w:r w:rsidR="00020A4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A amostra congrega redes de diferentes indústrias, tais como engenharia,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alimentação, saúde, turismo, madeira, telecomunicações,</w:t>
            </w:r>
            <w:r w:rsidR="00020A4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e tecnologia da informação.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661501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O efeito da continuidade do conselho apresenta uma relação curvilínea, muito mais significativa para redes maiores. 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Governança e conselhos de administração em rede</w:t>
            </w:r>
          </w:p>
        </w:tc>
      </w:tr>
      <w:tr w:rsidR="00020A46" w:rsidRPr="00326B56" w:rsidTr="00661501">
        <w:tc>
          <w:tcPr>
            <w:tcW w:w="0" w:type="auto"/>
          </w:tcPr>
          <w:p w:rsidR="00F574EF" w:rsidRPr="00326B56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Pr="00326B56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Chanal e Caron-Fasan ( 2010)</w:t>
            </w:r>
          </w:p>
          <w:p w:rsidR="00F574EF" w:rsidRPr="00326B56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Université de Grenoble</w:t>
            </w:r>
          </w:p>
          <w:p w:rsidR="00F574EF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Pr="00326B56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França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M@n@gement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The Difficulties involved in Developing</w:t>
            </w:r>
            <w:r w:rsidR="00020A4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Business Models open to Innovation Communities:</w:t>
            </w:r>
            <w:r w:rsidR="00020A4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the Case of a Crowdsourcing</w:t>
            </w:r>
            <w:r w:rsidR="00020A4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Platform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Quais são as principais dificuldades estratégicas encontradas por empresas cujos modelos de negócios dependem de comunidades públicas da web para criar valor?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Descrever tensões inerentes a modelos de negócios abertos em redes de construção coletiva na WEB com base na produção de conhecimento externo e anônimo.</w:t>
            </w:r>
          </w:p>
        </w:tc>
        <w:tc>
          <w:tcPr>
            <w:tcW w:w="0" w:type="auto"/>
            <w:vAlign w:val="center"/>
          </w:tcPr>
          <w:p w:rsidR="00F574EF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Abordagem de pesquisa colaborativa longitudinal.</w:t>
            </w:r>
          </w:p>
          <w:p w:rsidR="00F574EF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___  </w:t>
            </w:r>
          </w:p>
          <w:p w:rsidR="00F574EF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CrowdSpirit: Pataforma da Web que permite imaginar e projetar produtos inovadores.</w:t>
            </w:r>
          </w:p>
          <w:p w:rsidR="00F574EF" w:rsidRPr="00326B56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F574EF" w:rsidRPr="00326B56" w:rsidRDefault="00F574EF" w:rsidP="00661501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Em primeiro lugar, destacamos o fato de que a "abertura" do modelo de negócio para as comunidades on-line leva ao desenvolvimento de um modelo de incentivo multi-nível adaptado à diferentes perfis de contribuintes.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 Em segundo lugar, sugerimos que plataformas crowdsourcing estão no núcleo de um compartilhamento de conhecimento e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B93C64">
              <w:rPr>
                <w:rFonts w:ascii="Times New Roman" w:hAnsi="Times New Roman" w:cs="Times New Roman"/>
                <w:sz w:val="12"/>
                <w:szCs w:val="12"/>
              </w:rPr>
              <w:t>p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rocesso de transferência IP entre múltiplos atores. </w:t>
            </w:r>
            <w:r w:rsidR="00661501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Por fim, sugerimos que o projeto de  modelo de negócio e de desenvolvimento pode ser considerado como um processo contínuo de aprendizagem. 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Compartilhamento de conhecimento</w:t>
            </w:r>
          </w:p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TI</w:t>
            </w:r>
          </w:p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Inte</w:t>
            </w:r>
            <w:r w:rsidR="00661501">
              <w:rPr>
                <w:rFonts w:ascii="Times New Roman" w:hAnsi="Times New Roman" w:cs="Times New Roman"/>
                <w:sz w:val="12"/>
                <w:szCs w:val="12"/>
              </w:rPr>
              <w:t>r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mediários da inovação</w:t>
            </w:r>
          </w:p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Plataformas da Web</w:t>
            </w:r>
          </w:p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Trabalho coletivo</w:t>
            </w:r>
          </w:p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Criação coletiva</w:t>
            </w:r>
          </w:p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0A46" w:rsidRPr="00326B56" w:rsidTr="00661501">
        <w:tc>
          <w:tcPr>
            <w:tcW w:w="0" w:type="auto"/>
          </w:tcPr>
          <w:p w:rsidR="00F574EF" w:rsidRPr="00326B56" w:rsidRDefault="00F574EF" w:rsidP="00020A46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15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Dittrich e Duysters (2007)</w:t>
            </w:r>
          </w:p>
          <w:p w:rsidR="00F574EF" w:rsidRPr="00326B56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F574EF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RSM Erasmus University </w:t>
            </w:r>
          </w:p>
          <w:p w:rsidR="00F574EF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F574EF" w:rsidRPr="00326B56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Holanda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Journal of  Product  Innovation Management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Networking as a Means to Strategy Change:</w:t>
            </w:r>
            <w:r w:rsidR="00020A4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The Case of Open Innovation in Mobile Telephony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Com quem, porque e em que a Nokia colabora no desenvolvimento de produtos? Como a Nokia usa as redes para explorar novas ou aproveitar capacidades existentes para a transformação do negócio</w:t>
            </w:r>
            <w:r w:rsidR="00B93C64">
              <w:rPr>
                <w:rFonts w:ascii="Times New Roman" w:hAnsi="Times New Roman" w:cs="Times New Roman"/>
                <w:sz w:val="12"/>
                <w:szCs w:val="12"/>
              </w:rPr>
              <w:t>?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Investigar como as redes de inovação pode</w:t>
            </w:r>
            <w:r w:rsidR="00B93C64">
              <w:rPr>
                <w:rFonts w:ascii="Times New Roman" w:hAnsi="Times New Roman" w:cs="Times New Roman"/>
                <w:sz w:val="12"/>
                <w:szCs w:val="12"/>
              </w:rPr>
              <w:t>m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 ser usadas em um ambiente de evolução tecnológica.</w:t>
            </w:r>
          </w:p>
        </w:tc>
        <w:tc>
          <w:tcPr>
            <w:tcW w:w="0" w:type="auto"/>
            <w:vAlign w:val="center"/>
          </w:tcPr>
          <w:p w:rsidR="00F574EF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Estudo de caso longitudinal de 1985 a 2002 em projetos de P&amp;D. Foram aplicadas entrevistas semi-estruturadas em profundidade na NOKIA.</w:t>
            </w:r>
            <w:r w:rsidR="00020A4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E uma análise quantitativa nas alianças em P&amp;D. Os dados da ali</w:t>
            </w:r>
            <w:r w:rsidR="00B93C64">
              <w:rPr>
                <w:rFonts w:ascii="Times New Roman" w:hAnsi="Times New Roman" w:cs="Times New Roman"/>
                <w:sz w:val="12"/>
                <w:szCs w:val="12"/>
              </w:rPr>
              <w:t>a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nça foram retirados do</w:t>
            </w:r>
            <w:r w:rsidR="00020A4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banco de dados em alianças estratégicas de tecnologia (MERIT-CATI).</w:t>
            </w:r>
          </w:p>
          <w:p w:rsidR="00F574EF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___</w:t>
            </w:r>
          </w:p>
          <w:p w:rsidR="00F574EF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Pr="00326B56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Nokia</w:t>
            </w:r>
          </w:p>
        </w:tc>
        <w:tc>
          <w:tcPr>
            <w:tcW w:w="0" w:type="auto"/>
            <w:vAlign w:val="center"/>
          </w:tcPr>
          <w:p w:rsidR="00F574EF" w:rsidRDefault="00F574EF" w:rsidP="00661501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Nokia seguiu uma estratégia de aproveitamento no desenvolvimento das duas primeiras gerações de telefonia móvel e uma estratégia de exploração no desenvolvimento de tecnologias para a terceira geração. Tais redes interfirmas parecem oferecer flexibilidade, velocidade, inovação, e a capacidade de ajustar facilmente a novas condições de mercado e novos oportunidades estratégicas. Estas duas estratégias diferentes deram origem a diferente</w:t>
            </w:r>
            <w:r w:rsidR="00B93C64"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26B56">
              <w:rPr>
                <w:rFonts w:ascii="Times New Roman" w:hAnsi="Times New Roman" w:cs="Times New Roman"/>
                <w:i/>
                <w:sz w:val="12"/>
                <w:szCs w:val="12"/>
              </w:rPr>
              <w:t>redes de inovação internacionais,</w:t>
            </w:r>
            <w:r w:rsidR="00B93C64">
              <w:rPr>
                <w:rFonts w:ascii="Times New Roman" w:hAnsi="Times New Roman" w:cs="Times New Roman"/>
                <w:i/>
                <w:sz w:val="12"/>
                <w:szCs w:val="12"/>
              </w:rPr>
              <w:t>que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 ajudaram a empresa a tornar-se líder no setor de telefonia móvel, e que lhe permitiu sustentar essa posição em um ambiente tecnológico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  <w:p w:rsidR="00F574EF" w:rsidRPr="00326B56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Capacidades de exploração e aproveitamento</w:t>
            </w:r>
          </w:p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Estratégias de colaboração</w:t>
            </w:r>
          </w:p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Conhecimentos</w:t>
            </w:r>
          </w:p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Laços fracos</w:t>
            </w:r>
          </w:p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Escolha dos parceiros</w:t>
            </w:r>
          </w:p>
        </w:tc>
      </w:tr>
      <w:tr w:rsidR="00020A46" w:rsidRPr="00326B56" w:rsidTr="00661501">
        <w:tc>
          <w:tcPr>
            <w:tcW w:w="0" w:type="auto"/>
          </w:tcPr>
          <w:p w:rsidR="00F574EF" w:rsidRPr="00326B56" w:rsidRDefault="00F574EF" w:rsidP="00020A46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br w:type="page"/>
            </w: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:rsidR="00F574EF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Paasi at al. </w:t>
            </w: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br/>
              <w:t>(2010)</w:t>
            </w:r>
          </w:p>
          <w:p w:rsidR="00F574EF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F574EF" w:rsidRPr="00326B56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F574EF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VTT Techni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cal Research Centre of Finland </w:t>
            </w:r>
          </w:p>
          <w:p w:rsidR="00F574EF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F574EF" w:rsidRPr="00326B56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Fin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lâ</w:t>
            </w: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ndia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International Journal of Innovation Management</w:t>
            </w:r>
          </w:p>
        </w:tc>
        <w:tc>
          <w:tcPr>
            <w:tcW w:w="0" w:type="auto"/>
            <w:vAlign w:val="center"/>
          </w:tcPr>
          <w:p w:rsidR="00F574EF" w:rsidRPr="00020A4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020A4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Innovation Management Challenges of a system integrator in innovation networks</w:t>
            </w:r>
          </w:p>
          <w:p w:rsidR="00F574EF" w:rsidRPr="00020A4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574EF" w:rsidRPr="00326B56" w:rsidRDefault="00F574EF" w:rsidP="0064686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Quais os aspec</w:t>
            </w:r>
            <w:r w:rsidR="0064686B">
              <w:rPr>
                <w:rFonts w:ascii="Times New Roman" w:hAnsi="Times New Roman" w:cs="Times New Roman"/>
                <w:sz w:val="12"/>
                <w:szCs w:val="12"/>
              </w:rPr>
              <w:t xml:space="preserve">tos das redes de abastecimento e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de cocriação no que tange ao apoio ou a inibição da inovação em rede do ponto de vista de um SI e da gestão da inovação?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Descrever os desafios da gestão da inovação em um sistema integrador (SI)</w:t>
            </w:r>
          </w:p>
        </w:tc>
        <w:tc>
          <w:tcPr>
            <w:tcW w:w="0" w:type="auto"/>
            <w:vAlign w:val="center"/>
          </w:tcPr>
          <w:p w:rsidR="00F574EF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Estudos de casos múltiplos.</w:t>
            </w:r>
          </w:p>
          <w:p w:rsidR="00F574EF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___ </w:t>
            </w:r>
          </w:p>
          <w:p w:rsidR="00F574EF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6 empresas de diferentes setores cujo papel na sua rede é o de um SI.</w:t>
            </w:r>
          </w:p>
          <w:p w:rsidR="00F574EF" w:rsidRPr="00326B56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F574EF" w:rsidRPr="00326B56" w:rsidRDefault="00F574EF" w:rsidP="00661501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Quando os produtos incorporam uma variedade de tecnologias,</w:t>
            </w:r>
            <w:r w:rsidR="00661501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as empresas precisam contar com parceiros externos e configurações em rede</w:t>
            </w:r>
            <w:r w:rsidR="00661501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de inovação para ser competitivo. O SI,</w:t>
            </w:r>
            <w:r w:rsidR="00661501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exige, a capacidade de gerenciar redes horizontais, ou mesmo utilizar o paradigma da inovação aberta. É mais fácil para um SI gerir a inovação em redes de abastecimento</w:t>
            </w:r>
            <w:r w:rsidR="00661501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do que em redes de co-criação. O desafio para se ter uma rede bem sucedida </w:t>
            </w:r>
            <w:r w:rsidR="0064686B">
              <w:rPr>
                <w:rFonts w:ascii="Times New Roman" w:hAnsi="Times New Roman" w:cs="Times New Roman"/>
                <w:sz w:val="12"/>
                <w:szCs w:val="12"/>
              </w:rPr>
              <w:t>de coc</w:t>
            </w: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 xml:space="preserve">riação é o alinhamento de interesses e a visão compartilhada para o futuro de todos os atores na rede. </w:t>
            </w:r>
          </w:p>
          <w:p w:rsidR="00F574EF" w:rsidRPr="00326B56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integração do conhecimento</w:t>
            </w:r>
          </w:p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intercambio de capacidades e habilidades</w:t>
            </w:r>
          </w:p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co-criação</w:t>
            </w:r>
          </w:p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B56">
              <w:rPr>
                <w:rFonts w:ascii="Times New Roman" w:hAnsi="Times New Roman" w:cs="Times New Roman"/>
                <w:sz w:val="12"/>
                <w:szCs w:val="12"/>
              </w:rPr>
              <w:t>sistema de integração</w:t>
            </w:r>
          </w:p>
        </w:tc>
      </w:tr>
      <w:tr w:rsidR="00020A46" w:rsidRPr="00326B56" w:rsidTr="00661501">
        <w:tc>
          <w:tcPr>
            <w:tcW w:w="0" w:type="auto"/>
          </w:tcPr>
          <w:p w:rsidR="00F574EF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E468E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0" w:type="auto"/>
            <w:vAlign w:val="center"/>
          </w:tcPr>
          <w:p w:rsidR="00F574EF" w:rsidRPr="008E468E" w:rsidRDefault="00F574EF" w:rsidP="00F53F0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E468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Asakawa </w:t>
            </w:r>
            <w:r w:rsidR="006D323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et al.,</w:t>
            </w:r>
            <w:r w:rsidRPr="008E468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r w:rsidR="00F53F0A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(</w:t>
            </w:r>
            <w:r w:rsidRPr="008E468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2010</w:t>
            </w:r>
            <w:r w:rsidR="00F53F0A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)</w:t>
            </w:r>
          </w:p>
          <w:p w:rsidR="00F574EF" w:rsidRPr="008E468E" w:rsidRDefault="00F574EF" w:rsidP="00020A46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F574EF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Keio University </w:t>
            </w:r>
            <w:r w:rsidRPr="008E468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Japão</w:t>
            </w:r>
          </w:p>
          <w:p w:rsidR="00F574EF" w:rsidRPr="008E468E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F574EF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F574EF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Yokohama City University</w:t>
            </w:r>
          </w:p>
          <w:p w:rsidR="00F574EF" w:rsidRPr="00F574EF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F574EF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Japão</w:t>
            </w:r>
          </w:p>
        </w:tc>
        <w:tc>
          <w:tcPr>
            <w:tcW w:w="0" w:type="auto"/>
            <w:vAlign w:val="center"/>
          </w:tcPr>
          <w:p w:rsidR="00F574EF" w:rsidRPr="00F574EF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F574EF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R&amp;D Management</w:t>
            </w:r>
          </w:p>
        </w:tc>
        <w:tc>
          <w:tcPr>
            <w:tcW w:w="0" w:type="auto"/>
            <w:vAlign w:val="center"/>
          </w:tcPr>
          <w:p w:rsidR="00F574EF" w:rsidRPr="00020A4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020A4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Firms’ open innovation policies,</w:t>
            </w:r>
            <w:r w:rsidR="00020A4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r w:rsidRPr="00020A4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laboratories’ external</w:t>
            </w:r>
            <w:r w:rsidR="00020A4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r w:rsidRPr="00020A4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collaborations, and laboratories’</w:t>
            </w:r>
            <w:r w:rsidR="00020A4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r w:rsidRPr="00020A4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R&amp;D performance</w:t>
            </w:r>
          </w:p>
        </w:tc>
        <w:tc>
          <w:tcPr>
            <w:tcW w:w="0" w:type="auto"/>
            <w:vAlign w:val="center"/>
          </w:tcPr>
          <w:p w:rsidR="00F574EF" w:rsidRPr="00001C27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F574EF" w:rsidRPr="00001C27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F574EF" w:rsidRPr="00001C27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F574EF" w:rsidRPr="008E468E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00128">
              <w:rPr>
                <w:rFonts w:ascii="Times New Roman" w:hAnsi="Times New Roman" w:cs="Times New Roman"/>
                <w:sz w:val="12"/>
                <w:szCs w:val="12"/>
              </w:rPr>
              <w:t>Qua</w:t>
            </w:r>
            <w:r w:rsidRPr="008E468E">
              <w:rPr>
                <w:rFonts w:ascii="Times New Roman" w:hAnsi="Times New Roman" w:cs="Times New Roman"/>
                <w:sz w:val="12"/>
                <w:szCs w:val="12"/>
              </w:rPr>
              <w:t>l o impacto relativo das políticas de inovação aberta da empresa nas colaborações externas do laboratório de P&amp;D? Como estas colaborações impactam no desempenho do laboratório?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468E">
              <w:rPr>
                <w:rFonts w:ascii="Times New Roman" w:hAnsi="Times New Roman" w:cs="Times New Roman"/>
                <w:sz w:val="12"/>
                <w:szCs w:val="12"/>
              </w:rPr>
              <w:t>Examinar simultaneamente os efeitos das políticas de inovação aberta e da performance das colaborações externas no laboratório de P&amp;D.</w:t>
            </w:r>
          </w:p>
        </w:tc>
        <w:tc>
          <w:tcPr>
            <w:tcW w:w="0" w:type="auto"/>
            <w:vAlign w:val="center"/>
          </w:tcPr>
          <w:p w:rsidR="00F574EF" w:rsidRPr="008E468E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E468E">
              <w:rPr>
                <w:rFonts w:ascii="Times New Roman" w:hAnsi="Times New Roman" w:cs="Times New Roman"/>
                <w:sz w:val="12"/>
                <w:szCs w:val="12"/>
              </w:rPr>
              <w:t>Survey para os gestores dos laboratórios de P&amp;D</w:t>
            </w:r>
          </w:p>
          <w:p w:rsidR="00F574EF" w:rsidRPr="008E468E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E468E">
              <w:rPr>
                <w:rFonts w:ascii="Times New Roman" w:hAnsi="Times New Roman" w:cs="Times New Roman"/>
                <w:sz w:val="12"/>
                <w:szCs w:val="12"/>
              </w:rPr>
              <w:t xml:space="preserve">-Foram formuladas 6 hipóteses, que foram agrupadas para a construção de dois modelos hipotéticos. </w:t>
            </w:r>
          </w:p>
          <w:p w:rsidR="00F574EF" w:rsidRPr="008E468E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E468E">
              <w:rPr>
                <w:rFonts w:ascii="Times New Roman" w:hAnsi="Times New Roman" w:cs="Times New Roman"/>
                <w:sz w:val="12"/>
                <w:szCs w:val="12"/>
              </w:rPr>
              <w:t xml:space="preserve">___  </w:t>
            </w:r>
          </w:p>
          <w:p w:rsidR="00F574EF" w:rsidRPr="008E468E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Pr="00326B56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E468E">
              <w:rPr>
                <w:rFonts w:ascii="Times New Roman" w:hAnsi="Times New Roman" w:cs="Times New Roman"/>
                <w:sz w:val="12"/>
                <w:szCs w:val="12"/>
              </w:rPr>
              <w:t>203 Empresas japonesas de setores diferenciados que possuíam mais de 100 bilhões de ienes em vendas anuais.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661501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E468E">
              <w:rPr>
                <w:rFonts w:ascii="Times New Roman" w:hAnsi="Times New Roman" w:cs="Times New Roman"/>
                <w:sz w:val="12"/>
                <w:szCs w:val="12"/>
              </w:rPr>
              <w:t>O estudo parece demonstrar que o laboratório possui mais colaboradores externos quando a prioridade por inovação aberta é clara nas políticas empresariais.</w:t>
            </w:r>
            <w:r w:rsidR="00661501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8E468E">
              <w:rPr>
                <w:rFonts w:ascii="Times New Roman" w:hAnsi="Times New Roman" w:cs="Times New Roman"/>
                <w:sz w:val="12"/>
                <w:szCs w:val="12"/>
              </w:rPr>
              <w:t xml:space="preserve">Laboratórios que tem colaborações de diferentes tipos apresentam  melhor performance em P&amp;D. </w:t>
            </w:r>
            <w:r w:rsidR="00661501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8E468E">
              <w:rPr>
                <w:rFonts w:ascii="Times New Roman" w:hAnsi="Times New Roman" w:cs="Times New Roman"/>
                <w:sz w:val="12"/>
                <w:szCs w:val="12"/>
              </w:rPr>
              <w:t>A colaboração externa com universidades locais contribui para a performance da pesquisa, contudo, a colaboração externa com outras empresas locais tende a contribuir com o desenvolvimento da performance do laboratório</w:t>
            </w:r>
            <w:r w:rsidR="00661501">
              <w:rPr>
                <w:rFonts w:ascii="Times New Roman" w:hAnsi="Times New Roman" w:cs="Times New Roman"/>
                <w:sz w:val="12"/>
                <w:szCs w:val="12"/>
              </w:rPr>
              <w:t>.</w:t>
            </w:r>
            <w:r w:rsidRPr="008E468E">
              <w:rPr>
                <w:rFonts w:ascii="Times New Roman" w:hAnsi="Times New Roman" w:cs="Times New Roman"/>
                <w:sz w:val="12"/>
                <w:szCs w:val="12"/>
              </w:rPr>
              <w:t xml:space="preserve"> A escolha dos parceiros certos depende das atividades de P&amp;D da empresa.</w:t>
            </w:r>
          </w:p>
        </w:tc>
        <w:tc>
          <w:tcPr>
            <w:tcW w:w="0" w:type="auto"/>
            <w:vAlign w:val="center"/>
          </w:tcPr>
          <w:p w:rsidR="00F574EF" w:rsidRPr="008E468E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468E">
              <w:rPr>
                <w:rFonts w:ascii="Times New Roman" w:hAnsi="Times New Roman" w:cs="Times New Roman"/>
                <w:sz w:val="12"/>
                <w:szCs w:val="12"/>
              </w:rPr>
              <w:t>Capital social</w:t>
            </w:r>
          </w:p>
          <w:p w:rsidR="00F574EF" w:rsidRPr="008E468E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468E">
              <w:rPr>
                <w:rFonts w:ascii="Times New Roman" w:hAnsi="Times New Roman" w:cs="Times New Roman"/>
                <w:sz w:val="12"/>
                <w:szCs w:val="12"/>
              </w:rPr>
              <w:t>Lógica dominante</w:t>
            </w:r>
          </w:p>
          <w:p w:rsidR="00F574EF" w:rsidRPr="008E468E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468E">
              <w:rPr>
                <w:rFonts w:ascii="Times New Roman" w:hAnsi="Times New Roman" w:cs="Times New Roman"/>
                <w:sz w:val="12"/>
                <w:szCs w:val="12"/>
              </w:rPr>
              <w:t>Legitimidade</w:t>
            </w:r>
          </w:p>
          <w:p w:rsidR="00F574EF" w:rsidRPr="008E468E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468E">
              <w:rPr>
                <w:rFonts w:ascii="Times New Roman" w:hAnsi="Times New Roman" w:cs="Times New Roman"/>
                <w:sz w:val="12"/>
                <w:szCs w:val="12"/>
              </w:rPr>
              <w:t>Capacidades dinâmicas</w:t>
            </w:r>
          </w:p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468E">
              <w:rPr>
                <w:rFonts w:ascii="Times New Roman" w:hAnsi="Times New Roman" w:cs="Times New Roman"/>
                <w:sz w:val="12"/>
                <w:szCs w:val="12"/>
              </w:rPr>
              <w:t>Acumulação e partilha de recursos, conhecimento e informações.</w:t>
            </w:r>
          </w:p>
        </w:tc>
      </w:tr>
      <w:tr w:rsidR="00020A46" w:rsidRPr="00326B56" w:rsidTr="00661501">
        <w:tc>
          <w:tcPr>
            <w:tcW w:w="0" w:type="auto"/>
          </w:tcPr>
          <w:p w:rsidR="00F574EF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E468E">
              <w:rPr>
                <w:rFonts w:ascii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0" w:type="auto"/>
            <w:vAlign w:val="center"/>
          </w:tcPr>
          <w:p w:rsidR="00F574EF" w:rsidRDefault="00F574EF" w:rsidP="00F574E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E468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Lee </w:t>
            </w:r>
            <w:r w:rsidR="006D323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et al.,</w:t>
            </w:r>
            <w:r w:rsidRPr="008E468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(</w:t>
            </w:r>
            <w:r w:rsidRPr="008E468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2010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)</w:t>
            </w:r>
          </w:p>
          <w:p w:rsidR="00F574EF" w:rsidRPr="008E468E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E468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Ajou University – korea</w:t>
            </w:r>
          </w:p>
          <w:p w:rsidR="00F574EF" w:rsidRPr="008E468E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E468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Research Institute – Korea</w:t>
            </w:r>
          </w:p>
          <w:p w:rsidR="00F574EF" w:rsidRPr="00F574EF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F574EF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Dongguk University – Korea</w:t>
            </w:r>
          </w:p>
          <w:p w:rsidR="00F574EF" w:rsidRPr="00F574EF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F574EF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Seoul National University - Korea</w:t>
            </w:r>
          </w:p>
        </w:tc>
        <w:tc>
          <w:tcPr>
            <w:tcW w:w="0" w:type="auto"/>
            <w:vAlign w:val="center"/>
          </w:tcPr>
          <w:p w:rsidR="00F574EF" w:rsidRPr="005C52A5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468E">
              <w:rPr>
                <w:rFonts w:ascii="Times New Roman" w:hAnsi="Times New Roman" w:cs="Times New Roman"/>
                <w:sz w:val="12"/>
                <w:szCs w:val="12"/>
              </w:rPr>
              <w:t>Research Policy</w:t>
            </w:r>
          </w:p>
        </w:tc>
        <w:tc>
          <w:tcPr>
            <w:tcW w:w="0" w:type="auto"/>
            <w:vAlign w:val="center"/>
          </w:tcPr>
          <w:p w:rsidR="00F574EF" w:rsidRPr="00020A4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020A4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Open innovation in SMEs—An intermediated network model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468E">
              <w:rPr>
                <w:rFonts w:ascii="Times New Roman" w:hAnsi="Times New Roman" w:cs="Times New Roman"/>
                <w:sz w:val="12"/>
                <w:szCs w:val="12"/>
              </w:rPr>
              <w:t>PME´s tem potencial para inovação aberta? Modelos de colaboração podem aprimorar este potencial?</w:t>
            </w:r>
          </w:p>
        </w:tc>
        <w:tc>
          <w:tcPr>
            <w:tcW w:w="0" w:type="auto"/>
            <w:vAlign w:val="center"/>
          </w:tcPr>
          <w:p w:rsidR="00F574EF" w:rsidRPr="008E468E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468E">
              <w:rPr>
                <w:rFonts w:ascii="Times New Roman" w:hAnsi="Times New Roman" w:cs="Times New Roman"/>
                <w:sz w:val="12"/>
                <w:szCs w:val="12"/>
              </w:rPr>
              <w:t>Explorar o conceito de</w:t>
            </w:r>
          </w:p>
          <w:p w:rsidR="00F574EF" w:rsidRPr="008E468E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468E">
              <w:rPr>
                <w:rFonts w:ascii="Times New Roman" w:hAnsi="Times New Roman" w:cs="Times New Roman"/>
                <w:sz w:val="12"/>
                <w:szCs w:val="12"/>
              </w:rPr>
              <w:t>Inovação aberta no contexto das PMEs e investigar a necessidadde de entrada de um intermediário para facilitar</w:t>
            </w:r>
          </w:p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468E">
              <w:rPr>
                <w:rFonts w:ascii="Times New Roman" w:hAnsi="Times New Roman" w:cs="Times New Roman"/>
                <w:sz w:val="12"/>
                <w:szCs w:val="12"/>
              </w:rPr>
              <w:t>Inovação.</w:t>
            </w:r>
          </w:p>
        </w:tc>
        <w:tc>
          <w:tcPr>
            <w:tcW w:w="0" w:type="auto"/>
            <w:vAlign w:val="center"/>
          </w:tcPr>
          <w:p w:rsidR="00F574EF" w:rsidRPr="008E468E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E468E">
              <w:rPr>
                <w:rFonts w:ascii="Times New Roman" w:hAnsi="Times New Roman" w:cs="Times New Roman"/>
                <w:sz w:val="12"/>
                <w:szCs w:val="12"/>
              </w:rPr>
              <w:t>Utilizaram uma pesquisa documental com base na Technology</w:t>
            </w:r>
            <w:r w:rsidR="00020A4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64686B">
              <w:rPr>
                <w:rFonts w:ascii="Times New Roman" w:hAnsi="Times New Roman" w:cs="Times New Roman"/>
                <w:sz w:val="12"/>
                <w:szCs w:val="12"/>
              </w:rPr>
              <w:t>Innovation Survey –STEPI (</w:t>
            </w:r>
            <w:r w:rsidRPr="008E468E">
              <w:rPr>
                <w:rFonts w:ascii="Times New Roman" w:hAnsi="Times New Roman" w:cs="Times New Roman"/>
                <w:sz w:val="12"/>
                <w:szCs w:val="12"/>
              </w:rPr>
              <w:t>realizada anualmente pelo governo coreano para apoiar o governo na definição de políticas de ciência e tecnologia</w:t>
            </w:r>
            <w:r w:rsidR="0064686B">
              <w:rPr>
                <w:rFonts w:ascii="Times New Roman" w:hAnsi="Times New Roman" w:cs="Times New Roman"/>
                <w:sz w:val="12"/>
                <w:szCs w:val="12"/>
              </w:rPr>
              <w:t xml:space="preserve">) </w:t>
            </w:r>
            <w:r w:rsidR="0064686B" w:rsidRPr="0064686B">
              <w:rPr>
                <w:rFonts w:ascii="Times New Roman" w:hAnsi="Times New Roman" w:cs="Times New Roman"/>
                <w:sz w:val="12"/>
                <w:szCs w:val="12"/>
              </w:rPr>
              <w:t>e um estudo de caso</w:t>
            </w:r>
            <w:r w:rsidR="0064686B"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  <w:p w:rsidR="00F574EF" w:rsidRPr="008E468E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Pr="008E468E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E468E">
              <w:rPr>
                <w:rFonts w:ascii="Times New Roman" w:hAnsi="Times New Roman" w:cs="Times New Roman"/>
                <w:sz w:val="12"/>
                <w:szCs w:val="12"/>
              </w:rPr>
              <w:t xml:space="preserve">___ </w:t>
            </w:r>
          </w:p>
          <w:p w:rsidR="00F574EF" w:rsidRPr="008E468E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Pr="00326B56" w:rsidRDefault="00F574EF" w:rsidP="00020A4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E468E">
              <w:rPr>
                <w:rFonts w:ascii="Times New Roman" w:hAnsi="Times New Roman" w:cs="Times New Roman"/>
                <w:sz w:val="12"/>
                <w:szCs w:val="12"/>
              </w:rPr>
              <w:t>KICMS - uma associação</w:t>
            </w:r>
            <w:r w:rsidR="00020A4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8E468E">
              <w:rPr>
                <w:rFonts w:ascii="Times New Roman" w:hAnsi="Times New Roman" w:cs="Times New Roman"/>
                <w:sz w:val="12"/>
                <w:szCs w:val="12"/>
              </w:rPr>
              <w:t>criada para facilitar a colaboração entre as PME coreanos.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64686B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E468E">
              <w:rPr>
                <w:rFonts w:ascii="Times New Roman" w:hAnsi="Times New Roman" w:cs="Times New Roman"/>
                <w:sz w:val="12"/>
                <w:szCs w:val="12"/>
              </w:rPr>
              <w:t xml:space="preserve">Os resultados da pesquisa </w:t>
            </w:r>
            <w:r w:rsidR="0064686B">
              <w:rPr>
                <w:rFonts w:ascii="Times New Roman" w:hAnsi="Times New Roman" w:cs="Times New Roman"/>
                <w:sz w:val="12"/>
                <w:szCs w:val="12"/>
              </w:rPr>
              <w:t>reforçam</w:t>
            </w:r>
            <w:r w:rsidRPr="008E468E">
              <w:rPr>
                <w:rFonts w:ascii="Times New Roman" w:hAnsi="Times New Roman" w:cs="Times New Roman"/>
                <w:sz w:val="12"/>
                <w:szCs w:val="12"/>
              </w:rPr>
              <w:t xml:space="preserve"> o potencial de inovação aberta </w:t>
            </w:r>
            <w:r w:rsidR="0064686B">
              <w:rPr>
                <w:rFonts w:ascii="Times New Roman" w:hAnsi="Times New Roman" w:cs="Times New Roman"/>
                <w:sz w:val="12"/>
                <w:szCs w:val="12"/>
              </w:rPr>
              <w:t>de</w:t>
            </w:r>
            <w:r w:rsidRPr="008E468E">
              <w:rPr>
                <w:rFonts w:ascii="Times New Roman" w:hAnsi="Times New Roman" w:cs="Times New Roman"/>
                <w:sz w:val="12"/>
                <w:szCs w:val="12"/>
              </w:rPr>
              <w:t xml:space="preserve"> PME, e indicam a rede como um</w:t>
            </w:r>
            <w:r w:rsidR="00661501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8E468E">
              <w:rPr>
                <w:rFonts w:ascii="Times New Roman" w:hAnsi="Times New Roman" w:cs="Times New Roman"/>
                <w:sz w:val="12"/>
                <w:szCs w:val="12"/>
              </w:rPr>
              <w:t>forma eficaz para facilitar a inovação aberta entre as PME.</w:t>
            </w:r>
          </w:p>
        </w:tc>
        <w:tc>
          <w:tcPr>
            <w:tcW w:w="0" w:type="auto"/>
            <w:vAlign w:val="center"/>
          </w:tcPr>
          <w:p w:rsidR="00F574EF" w:rsidRPr="008E468E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468E">
              <w:rPr>
                <w:rFonts w:ascii="Times New Roman" w:hAnsi="Times New Roman" w:cs="Times New Roman"/>
                <w:sz w:val="12"/>
                <w:szCs w:val="12"/>
              </w:rPr>
              <w:t>Vantagens competitivas e trocas de conhecimentos</w:t>
            </w:r>
          </w:p>
          <w:p w:rsidR="00F574EF" w:rsidRPr="00326B56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468E">
              <w:rPr>
                <w:rFonts w:ascii="Times New Roman" w:hAnsi="Times New Roman" w:cs="Times New Roman"/>
                <w:sz w:val="12"/>
                <w:szCs w:val="12"/>
              </w:rPr>
              <w:t>Confiança mútua</w:t>
            </w:r>
          </w:p>
        </w:tc>
      </w:tr>
      <w:tr w:rsidR="00020A46" w:rsidRPr="008E468E" w:rsidTr="00661501">
        <w:tc>
          <w:tcPr>
            <w:tcW w:w="0" w:type="auto"/>
          </w:tcPr>
          <w:p w:rsidR="00F574EF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E468E">
              <w:rPr>
                <w:rFonts w:ascii="Times New Roman" w:hAnsi="Times New Roman" w:cs="Times New Roman"/>
                <w:sz w:val="12"/>
                <w:szCs w:val="12"/>
              </w:rPr>
              <w:t>19</w:t>
            </w:r>
          </w:p>
          <w:p w:rsidR="00F574EF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Pr="00326B56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F574EF" w:rsidRPr="00F574EF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F574EF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Westergren e Holmström (2012)</w:t>
            </w:r>
          </w:p>
          <w:p w:rsidR="00F574EF" w:rsidRPr="00F574EF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F574EF" w:rsidRPr="00F574EF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F574EF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Umea University - Suiça</w:t>
            </w:r>
          </w:p>
        </w:tc>
        <w:tc>
          <w:tcPr>
            <w:tcW w:w="0" w:type="auto"/>
            <w:vAlign w:val="center"/>
          </w:tcPr>
          <w:p w:rsidR="00F574EF" w:rsidRPr="005C52A5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468E">
              <w:rPr>
                <w:rFonts w:ascii="Times New Roman" w:hAnsi="Times New Roman" w:cs="Times New Roman"/>
                <w:sz w:val="12"/>
                <w:szCs w:val="12"/>
              </w:rPr>
              <w:t>Information and Organization</w:t>
            </w:r>
          </w:p>
        </w:tc>
        <w:tc>
          <w:tcPr>
            <w:tcW w:w="0" w:type="auto"/>
            <w:vAlign w:val="center"/>
          </w:tcPr>
          <w:p w:rsidR="00F574EF" w:rsidRPr="00020A4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020A4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Exploring preconditions for open innovation: Value networks</w:t>
            </w:r>
            <w:r w:rsidR="00020A4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r w:rsidRPr="00020A4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in industrial firms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468E">
              <w:rPr>
                <w:rFonts w:ascii="Times New Roman" w:hAnsi="Times New Roman" w:cs="Times New Roman"/>
                <w:sz w:val="12"/>
                <w:szCs w:val="12"/>
              </w:rPr>
              <w:t>Que razões estão por trás da adoção de um modelo de inovação aberta? Qual o papel da Ti neste processo?</w:t>
            </w:r>
          </w:p>
        </w:tc>
        <w:tc>
          <w:tcPr>
            <w:tcW w:w="0" w:type="auto"/>
            <w:vAlign w:val="center"/>
          </w:tcPr>
          <w:p w:rsidR="00F574EF" w:rsidRPr="00326B56" w:rsidRDefault="00F574EF" w:rsidP="00020A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468E">
              <w:rPr>
                <w:rFonts w:ascii="Times New Roman" w:hAnsi="Times New Roman" w:cs="Times New Roman"/>
                <w:sz w:val="12"/>
                <w:szCs w:val="12"/>
              </w:rPr>
              <w:t>Explorar as condições prévias para inovação aberta e fornecer uma visão sobre o papel da TI no processo.</w:t>
            </w:r>
          </w:p>
        </w:tc>
        <w:tc>
          <w:tcPr>
            <w:tcW w:w="0" w:type="auto"/>
            <w:vAlign w:val="center"/>
          </w:tcPr>
          <w:p w:rsidR="00F574EF" w:rsidRPr="008E468E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E468E">
              <w:rPr>
                <w:rFonts w:ascii="Times New Roman" w:hAnsi="Times New Roman" w:cs="Times New Roman"/>
                <w:sz w:val="12"/>
                <w:szCs w:val="12"/>
              </w:rPr>
              <w:t xml:space="preserve">Estudo de Caso com entrevista semi-estruturada e análise documental. </w:t>
            </w:r>
          </w:p>
          <w:p w:rsidR="00F574EF" w:rsidRPr="008E468E" w:rsidRDefault="00F574EF" w:rsidP="00020A4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74EF" w:rsidRPr="00F574EF" w:rsidRDefault="00F574EF" w:rsidP="00020A46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F574EF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___ </w:t>
            </w:r>
          </w:p>
          <w:p w:rsidR="00F574EF" w:rsidRPr="00F574EF" w:rsidRDefault="00F574EF" w:rsidP="00020A46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F574EF" w:rsidRPr="008E468E" w:rsidRDefault="00F574EF" w:rsidP="00020A46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E468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Mineradora LKAB (indústria high-tech ) – joint-venture</w:t>
            </w:r>
          </w:p>
        </w:tc>
        <w:tc>
          <w:tcPr>
            <w:tcW w:w="0" w:type="auto"/>
            <w:vAlign w:val="center"/>
          </w:tcPr>
          <w:p w:rsidR="00F574EF" w:rsidRPr="008E468E" w:rsidRDefault="00F574EF" w:rsidP="0064686B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E468E">
              <w:rPr>
                <w:rFonts w:ascii="Times New Roman" w:hAnsi="Times New Roman" w:cs="Times New Roman"/>
                <w:sz w:val="12"/>
                <w:szCs w:val="12"/>
              </w:rPr>
              <w:t>A adoção do modelo de inovação aberta é subsidiado pelo desenvolvimento de ambientes organizacionais que favorecem a</w:t>
            </w:r>
            <w:r w:rsidR="00661501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8E468E">
              <w:rPr>
                <w:rFonts w:ascii="Times New Roman" w:hAnsi="Times New Roman" w:cs="Times New Roman"/>
                <w:sz w:val="12"/>
                <w:szCs w:val="12"/>
              </w:rPr>
              <w:t>inovação, incluindo a criação de uma cultura de partilha do conhecimento, construindo um ambiente de confiança, bem como a utilização de recursos de TI.</w:t>
            </w:r>
            <w:r w:rsidR="00661501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8E468E">
              <w:rPr>
                <w:rFonts w:ascii="Times New Roman" w:hAnsi="Times New Roman" w:cs="Times New Roman"/>
                <w:sz w:val="12"/>
                <w:szCs w:val="12"/>
              </w:rPr>
              <w:t>O exame crítico dos laços e da confiança em redes é essencial para analisar a inovação aberta e a relação com o compartilhamento de conhecimento interorganizacional.</w:t>
            </w:r>
            <w:r w:rsidR="0064686B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8E468E">
              <w:rPr>
                <w:rFonts w:ascii="Times New Roman" w:hAnsi="Times New Roman" w:cs="Times New Roman"/>
                <w:sz w:val="12"/>
                <w:szCs w:val="12"/>
              </w:rPr>
              <w:t>Confiança e riscos estão intrinsecamente associados. O papel da confiança é fundamental nas relações de rede que possuem ambientes de inovação aberta.</w:t>
            </w:r>
          </w:p>
        </w:tc>
        <w:tc>
          <w:tcPr>
            <w:tcW w:w="0" w:type="auto"/>
            <w:vAlign w:val="center"/>
          </w:tcPr>
          <w:p w:rsidR="00F574EF" w:rsidRPr="008E468E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468E">
              <w:rPr>
                <w:rFonts w:ascii="Times New Roman" w:hAnsi="Times New Roman" w:cs="Times New Roman"/>
                <w:sz w:val="12"/>
                <w:szCs w:val="12"/>
              </w:rPr>
              <w:t>Sistemas de informação, tecnologia de informação,</w:t>
            </w:r>
          </w:p>
          <w:p w:rsidR="00F574EF" w:rsidRPr="008E468E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468E">
              <w:rPr>
                <w:rFonts w:ascii="Times New Roman" w:hAnsi="Times New Roman" w:cs="Times New Roman"/>
                <w:sz w:val="12"/>
                <w:szCs w:val="12"/>
              </w:rPr>
              <w:t>Confiança</w:t>
            </w:r>
          </w:p>
          <w:p w:rsidR="00F574EF" w:rsidRPr="008E468E" w:rsidRDefault="00F574EF" w:rsidP="006615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468E">
              <w:rPr>
                <w:rFonts w:ascii="Times New Roman" w:hAnsi="Times New Roman" w:cs="Times New Roman"/>
                <w:sz w:val="12"/>
                <w:szCs w:val="12"/>
              </w:rPr>
              <w:t>Partilha de conhecimento</w:t>
            </w:r>
          </w:p>
        </w:tc>
      </w:tr>
    </w:tbl>
    <w:p w:rsidR="00F574EF" w:rsidRPr="00E514C1" w:rsidRDefault="00F574EF" w:rsidP="00865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65F7E" w:rsidRPr="00865F7E" w:rsidRDefault="00865F7E" w:rsidP="00F15B4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65F7E" w:rsidRPr="00865F7E" w:rsidSect="00865F7E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0E5" w:rsidRDefault="006120E5" w:rsidP="00047212">
      <w:pPr>
        <w:spacing w:after="0" w:line="240" w:lineRule="auto"/>
      </w:pPr>
      <w:r>
        <w:separator/>
      </w:r>
    </w:p>
  </w:endnote>
  <w:endnote w:type="continuationSeparator" w:id="0">
    <w:p w:rsidR="006120E5" w:rsidRDefault="006120E5" w:rsidP="0004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0E5" w:rsidRDefault="006120E5" w:rsidP="00047212">
      <w:pPr>
        <w:spacing w:after="0" w:line="240" w:lineRule="auto"/>
      </w:pPr>
      <w:r>
        <w:separator/>
      </w:r>
    </w:p>
  </w:footnote>
  <w:footnote w:type="continuationSeparator" w:id="0">
    <w:p w:rsidR="006120E5" w:rsidRDefault="006120E5" w:rsidP="00047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alt="https://encrypted-tbn1.google.com/images?q=tbn:ANd9GcRdcF68XV9BAQb2hNVPKIzQLvo51c6mBPKdO_ejz2m8JsV0sjQQ_g" style="width:220.1pt;height:129.05pt;visibility:visible;mso-wrap-style:square" o:bullet="t">
        <v:imagedata r:id="rId1" o:title="ANd9GcRdcF68XV9BAQb2hNVPKIzQLvo51c6mBPKdO_ejz2m8JsV0sjQQ_g"/>
      </v:shape>
    </w:pict>
  </w:numPicBullet>
  <w:abstractNum w:abstractNumId="0">
    <w:nsid w:val="1C5342C9"/>
    <w:multiLevelType w:val="hybridMultilevel"/>
    <w:tmpl w:val="BCACB2D8"/>
    <w:lvl w:ilvl="0" w:tplc="7E1A28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AE77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885B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8EF8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165B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2AC3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8A26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8C71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1C57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5AE1344"/>
    <w:multiLevelType w:val="hybridMultilevel"/>
    <w:tmpl w:val="008A0DE0"/>
    <w:lvl w:ilvl="0" w:tplc="B3FA28D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52133"/>
    <w:multiLevelType w:val="hybridMultilevel"/>
    <w:tmpl w:val="2B7A2A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292"/>
    <w:rsid w:val="00020A46"/>
    <w:rsid w:val="00026894"/>
    <w:rsid w:val="000306F7"/>
    <w:rsid w:val="00031DCB"/>
    <w:rsid w:val="000330C3"/>
    <w:rsid w:val="00047212"/>
    <w:rsid w:val="0005514E"/>
    <w:rsid w:val="0008307C"/>
    <w:rsid w:val="0008581B"/>
    <w:rsid w:val="000D1F88"/>
    <w:rsid w:val="000E40F7"/>
    <w:rsid w:val="000F583D"/>
    <w:rsid w:val="000F5D73"/>
    <w:rsid w:val="001071C2"/>
    <w:rsid w:val="00111549"/>
    <w:rsid w:val="0011760C"/>
    <w:rsid w:val="00124314"/>
    <w:rsid w:val="00136EDF"/>
    <w:rsid w:val="00147A08"/>
    <w:rsid w:val="00160858"/>
    <w:rsid w:val="001646D3"/>
    <w:rsid w:val="00180B85"/>
    <w:rsid w:val="00190FEF"/>
    <w:rsid w:val="001969FA"/>
    <w:rsid w:val="001A79F5"/>
    <w:rsid w:val="001B6CD5"/>
    <w:rsid w:val="001C2668"/>
    <w:rsid w:val="001C57F6"/>
    <w:rsid w:val="001C641E"/>
    <w:rsid w:val="002078D2"/>
    <w:rsid w:val="0021297B"/>
    <w:rsid w:val="00236BAA"/>
    <w:rsid w:val="00264292"/>
    <w:rsid w:val="00270CE6"/>
    <w:rsid w:val="002947B2"/>
    <w:rsid w:val="00297CEE"/>
    <w:rsid w:val="002C18D6"/>
    <w:rsid w:val="002C60B4"/>
    <w:rsid w:val="002E1F5E"/>
    <w:rsid w:val="002E5509"/>
    <w:rsid w:val="002F02B7"/>
    <w:rsid w:val="0030247D"/>
    <w:rsid w:val="00305FC3"/>
    <w:rsid w:val="00307D04"/>
    <w:rsid w:val="00317CBE"/>
    <w:rsid w:val="003448CF"/>
    <w:rsid w:val="00362F09"/>
    <w:rsid w:val="00382695"/>
    <w:rsid w:val="00397DDA"/>
    <w:rsid w:val="003A4FCB"/>
    <w:rsid w:val="003A6B41"/>
    <w:rsid w:val="003A6F2C"/>
    <w:rsid w:val="003B3C24"/>
    <w:rsid w:val="003E02E0"/>
    <w:rsid w:val="003F3545"/>
    <w:rsid w:val="00400128"/>
    <w:rsid w:val="00416971"/>
    <w:rsid w:val="00423B7F"/>
    <w:rsid w:val="00424B69"/>
    <w:rsid w:val="004378EC"/>
    <w:rsid w:val="004464FA"/>
    <w:rsid w:val="00462E1F"/>
    <w:rsid w:val="00462FB4"/>
    <w:rsid w:val="00471655"/>
    <w:rsid w:val="004862BE"/>
    <w:rsid w:val="00486F5B"/>
    <w:rsid w:val="004B7750"/>
    <w:rsid w:val="004C388D"/>
    <w:rsid w:val="004E5172"/>
    <w:rsid w:val="004F5FC4"/>
    <w:rsid w:val="0050754C"/>
    <w:rsid w:val="00516721"/>
    <w:rsid w:val="00550466"/>
    <w:rsid w:val="00553332"/>
    <w:rsid w:val="00581615"/>
    <w:rsid w:val="00581BD3"/>
    <w:rsid w:val="005976DE"/>
    <w:rsid w:val="005A2CFD"/>
    <w:rsid w:val="005B30E6"/>
    <w:rsid w:val="005B3F70"/>
    <w:rsid w:val="005B662E"/>
    <w:rsid w:val="005C5CCB"/>
    <w:rsid w:val="005D4A13"/>
    <w:rsid w:val="005E0C69"/>
    <w:rsid w:val="005E7A73"/>
    <w:rsid w:val="005F37D2"/>
    <w:rsid w:val="005F5A72"/>
    <w:rsid w:val="00606B55"/>
    <w:rsid w:val="006120E5"/>
    <w:rsid w:val="00627C53"/>
    <w:rsid w:val="00633405"/>
    <w:rsid w:val="00645CED"/>
    <w:rsid w:val="0064686B"/>
    <w:rsid w:val="0064730D"/>
    <w:rsid w:val="00661501"/>
    <w:rsid w:val="0067332A"/>
    <w:rsid w:val="006779D2"/>
    <w:rsid w:val="00695C6A"/>
    <w:rsid w:val="006A29D2"/>
    <w:rsid w:val="006B6001"/>
    <w:rsid w:val="006D323D"/>
    <w:rsid w:val="006D3ABD"/>
    <w:rsid w:val="00704F6B"/>
    <w:rsid w:val="00713BF7"/>
    <w:rsid w:val="00715589"/>
    <w:rsid w:val="007205BD"/>
    <w:rsid w:val="0073166F"/>
    <w:rsid w:val="00734A22"/>
    <w:rsid w:val="00740AD1"/>
    <w:rsid w:val="00753F5F"/>
    <w:rsid w:val="0077463E"/>
    <w:rsid w:val="007774A4"/>
    <w:rsid w:val="007979B0"/>
    <w:rsid w:val="007A1313"/>
    <w:rsid w:val="007A2E6B"/>
    <w:rsid w:val="007C4038"/>
    <w:rsid w:val="007E70B0"/>
    <w:rsid w:val="007F2078"/>
    <w:rsid w:val="00826311"/>
    <w:rsid w:val="008326B5"/>
    <w:rsid w:val="00845D23"/>
    <w:rsid w:val="0086197F"/>
    <w:rsid w:val="00865F7E"/>
    <w:rsid w:val="00880F6E"/>
    <w:rsid w:val="008B16EA"/>
    <w:rsid w:val="008B5DB2"/>
    <w:rsid w:val="008E15B3"/>
    <w:rsid w:val="008F4645"/>
    <w:rsid w:val="00921B87"/>
    <w:rsid w:val="009315F3"/>
    <w:rsid w:val="009339EE"/>
    <w:rsid w:val="009359D5"/>
    <w:rsid w:val="00936167"/>
    <w:rsid w:val="0093649B"/>
    <w:rsid w:val="00960408"/>
    <w:rsid w:val="00973D4C"/>
    <w:rsid w:val="009879BD"/>
    <w:rsid w:val="009A7B7C"/>
    <w:rsid w:val="009B623E"/>
    <w:rsid w:val="009C105F"/>
    <w:rsid w:val="009D1CF0"/>
    <w:rsid w:val="009D5CCF"/>
    <w:rsid w:val="009E56D3"/>
    <w:rsid w:val="009F78F7"/>
    <w:rsid w:val="00A719E4"/>
    <w:rsid w:val="00A94F70"/>
    <w:rsid w:val="00A964E2"/>
    <w:rsid w:val="00A97FEF"/>
    <w:rsid w:val="00AB185B"/>
    <w:rsid w:val="00AB7354"/>
    <w:rsid w:val="00AC7FE1"/>
    <w:rsid w:val="00AE0F18"/>
    <w:rsid w:val="00AF1F2A"/>
    <w:rsid w:val="00AF41FC"/>
    <w:rsid w:val="00AF7826"/>
    <w:rsid w:val="00B2646D"/>
    <w:rsid w:val="00B30A1F"/>
    <w:rsid w:val="00B3474F"/>
    <w:rsid w:val="00B532D3"/>
    <w:rsid w:val="00B8721F"/>
    <w:rsid w:val="00B93C64"/>
    <w:rsid w:val="00B95ABF"/>
    <w:rsid w:val="00BA594C"/>
    <w:rsid w:val="00BD24F2"/>
    <w:rsid w:val="00BE0CA4"/>
    <w:rsid w:val="00BF483D"/>
    <w:rsid w:val="00BF6E82"/>
    <w:rsid w:val="00C17201"/>
    <w:rsid w:val="00C31941"/>
    <w:rsid w:val="00C41861"/>
    <w:rsid w:val="00C654BA"/>
    <w:rsid w:val="00C7491A"/>
    <w:rsid w:val="00C923EB"/>
    <w:rsid w:val="00C96CC3"/>
    <w:rsid w:val="00CA0DA2"/>
    <w:rsid w:val="00CB1570"/>
    <w:rsid w:val="00CB20EB"/>
    <w:rsid w:val="00CC212F"/>
    <w:rsid w:val="00CC2879"/>
    <w:rsid w:val="00CC60A1"/>
    <w:rsid w:val="00CE2B07"/>
    <w:rsid w:val="00CE3657"/>
    <w:rsid w:val="00D00713"/>
    <w:rsid w:val="00D07E66"/>
    <w:rsid w:val="00D12E23"/>
    <w:rsid w:val="00D1305A"/>
    <w:rsid w:val="00D50C4F"/>
    <w:rsid w:val="00D70F4A"/>
    <w:rsid w:val="00D7117D"/>
    <w:rsid w:val="00D71B9F"/>
    <w:rsid w:val="00D75C17"/>
    <w:rsid w:val="00D9118E"/>
    <w:rsid w:val="00D9708B"/>
    <w:rsid w:val="00D97CB4"/>
    <w:rsid w:val="00DA6878"/>
    <w:rsid w:val="00DC031C"/>
    <w:rsid w:val="00DE3FD7"/>
    <w:rsid w:val="00E127F7"/>
    <w:rsid w:val="00E16824"/>
    <w:rsid w:val="00E3356F"/>
    <w:rsid w:val="00E446DD"/>
    <w:rsid w:val="00E57EF3"/>
    <w:rsid w:val="00E6078D"/>
    <w:rsid w:val="00E6784A"/>
    <w:rsid w:val="00E730E5"/>
    <w:rsid w:val="00E81970"/>
    <w:rsid w:val="00E86EAD"/>
    <w:rsid w:val="00E954F1"/>
    <w:rsid w:val="00EA5393"/>
    <w:rsid w:val="00EC38EC"/>
    <w:rsid w:val="00ED5725"/>
    <w:rsid w:val="00EE05A0"/>
    <w:rsid w:val="00EE6809"/>
    <w:rsid w:val="00EE7E15"/>
    <w:rsid w:val="00EF065D"/>
    <w:rsid w:val="00F15B49"/>
    <w:rsid w:val="00F53F0A"/>
    <w:rsid w:val="00F56054"/>
    <w:rsid w:val="00F574EF"/>
    <w:rsid w:val="00F70A56"/>
    <w:rsid w:val="00F712A5"/>
    <w:rsid w:val="00F927B5"/>
    <w:rsid w:val="00FA32DA"/>
    <w:rsid w:val="00FB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B73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735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735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73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735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7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35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B20EB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4721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4721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47212"/>
    <w:rPr>
      <w:vertAlign w:val="superscript"/>
    </w:rPr>
  </w:style>
  <w:style w:type="table" w:styleId="Tabelacomgrade">
    <w:name w:val="Table Grid"/>
    <w:basedOn w:val="Tabelanormal"/>
    <w:uiPriority w:val="59"/>
    <w:rsid w:val="00F57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574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74EF"/>
  </w:style>
  <w:style w:type="paragraph" w:styleId="Rodap">
    <w:name w:val="footer"/>
    <w:basedOn w:val="Normal"/>
    <w:link w:val="RodapChar"/>
    <w:uiPriority w:val="99"/>
    <w:semiHidden/>
    <w:unhideWhenUsed/>
    <w:rsid w:val="00F574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574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B73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735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735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73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735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7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35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B20EB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4721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4721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47212"/>
    <w:rPr>
      <w:vertAlign w:val="superscript"/>
    </w:rPr>
  </w:style>
  <w:style w:type="table" w:styleId="Tabelacomgrade">
    <w:name w:val="Table Grid"/>
    <w:basedOn w:val="Tabelanormal"/>
    <w:uiPriority w:val="59"/>
    <w:rsid w:val="00F57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574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74EF"/>
  </w:style>
  <w:style w:type="paragraph" w:styleId="Rodap">
    <w:name w:val="footer"/>
    <w:basedOn w:val="Normal"/>
    <w:link w:val="RodapChar"/>
    <w:uiPriority w:val="99"/>
    <w:semiHidden/>
    <w:unhideWhenUsed/>
    <w:rsid w:val="00F574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57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35896-D51C-48BA-B47B-A7A445205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4146</Words>
  <Characters>22389</Characters>
  <Application>Microsoft Office Word</Application>
  <DocSecurity>0</DocSecurity>
  <Lines>186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Kadígia</cp:lastModifiedBy>
  <cp:revision>2</cp:revision>
  <dcterms:created xsi:type="dcterms:W3CDTF">2014-03-30T19:51:00Z</dcterms:created>
  <dcterms:modified xsi:type="dcterms:W3CDTF">2014-03-30T19:51:00Z</dcterms:modified>
</cp:coreProperties>
</file>