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025C8" w14:paraId="60E9F332" w14:textId="77777777" w:rsidTr="00E025C8">
        <w:tc>
          <w:tcPr>
            <w:tcW w:w="4247" w:type="dxa"/>
          </w:tcPr>
          <w:p w14:paraId="2351E221" w14:textId="11240E96" w:rsidR="00E025C8" w:rsidRPr="007820D1" w:rsidRDefault="00E025C8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SOLICITAÇÃO</w:t>
            </w:r>
          </w:p>
        </w:tc>
        <w:tc>
          <w:tcPr>
            <w:tcW w:w="4247" w:type="dxa"/>
          </w:tcPr>
          <w:p w14:paraId="175CDF29" w14:textId="62A8303C" w:rsidR="00E025C8" w:rsidRPr="007820D1" w:rsidRDefault="007820D1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Referência</w:t>
            </w:r>
            <w:r w:rsidR="00E025C8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no texto</w:t>
            </w:r>
          </w:p>
        </w:tc>
      </w:tr>
      <w:tr w:rsidR="00E025C8" w14:paraId="4A395CEF" w14:textId="77777777" w:rsidTr="00E025C8">
        <w:tc>
          <w:tcPr>
            <w:tcW w:w="4247" w:type="dxa"/>
          </w:tcPr>
          <w:p w14:paraId="0A23B410" w14:textId="24B224E7" w:rsidR="00E025C8" w:rsidRPr="007820D1" w:rsidRDefault="007820D1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</w:t>
            </w:r>
            <w:r w:rsidR="00E025C8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eferencias internacionais</w:t>
            </w:r>
          </w:p>
        </w:tc>
        <w:tc>
          <w:tcPr>
            <w:tcW w:w="4247" w:type="dxa"/>
          </w:tcPr>
          <w:p w14:paraId="16BF76B3" w14:textId="404AB883" w:rsidR="00E025C8" w:rsidRPr="007820D1" w:rsidRDefault="007820D1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31C7">
              <w:rPr>
                <w:rFonts w:ascii="Times New Roman" w:hAnsi="Times New Roman" w:cs="Times New Roman"/>
                <w:sz w:val="24"/>
                <w:szCs w:val="24"/>
              </w:rPr>
              <w:t>Incorporação das referências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631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Dilley, M., &amp; Boudreau, T. E. (2001)</w:t>
            </w:r>
            <w:r w:rsidR="00ED04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proofErr w:type="spellStart"/>
            <w:r w:rsidR="00ED04B2" w:rsidRPr="00ED04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Pinstrup</w:t>
            </w:r>
            <w:proofErr w:type="spellEnd"/>
            <w:r w:rsidR="00ED04B2" w:rsidRPr="00ED04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-Andersen, P. (2009). Food security: definition and measurement. Food security, 1(1), 5-7.</w:t>
            </w:r>
          </w:p>
        </w:tc>
      </w:tr>
      <w:tr w:rsidR="00E025C8" w14:paraId="350855A4" w14:textId="77777777" w:rsidTr="00E025C8">
        <w:tc>
          <w:tcPr>
            <w:tcW w:w="4247" w:type="dxa"/>
          </w:tcPr>
          <w:p w14:paraId="15AF279A" w14:textId="379DABC4" w:rsidR="00E025C8" w:rsidRPr="007820D1" w:rsidRDefault="00E025C8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Redução no número de figuras e tabelas</w:t>
            </w:r>
          </w:p>
        </w:tc>
        <w:tc>
          <w:tcPr>
            <w:tcW w:w="4247" w:type="dxa"/>
          </w:tcPr>
          <w:p w14:paraId="7B8EEC33" w14:textId="25F5DBEC" w:rsidR="00E025C8" w:rsidRPr="007820D1" w:rsidRDefault="000F01F1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Foram mantidas </w:t>
            </w:r>
            <w:r w:rsid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1 figura e 2 </w:t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tabelas</w:t>
            </w:r>
          </w:p>
        </w:tc>
      </w:tr>
      <w:tr w:rsidR="00E025C8" w14:paraId="6F324322" w14:textId="77777777" w:rsidTr="00E025C8">
        <w:tc>
          <w:tcPr>
            <w:tcW w:w="4247" w:type="dxa"/>
          </w:tcPr>
          <w:p w14:paraId="5B3DABB5" w14:textId="77777777" w:rsidR="00E025C8" w:rsidRPr="007820D1" w:rsidRDefault="00E025C8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Adicionar as seguintes referências:</w:t>
            </w:r>
          </w:p>
          <w:p w14:paraId="1BCA4AD3" w14:textId="0C4B573E" w:rsidR="00E025C8" w:rsidRPr="007820D1" w:rsidRDefault="00E025C8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bookmarkStart w:id="0" w:name="_Hlk514876391"/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ARAÚJO, E. T.; BOULLOSA, R. Avaliação e Monitoramento de Projetos</w:t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Sociais. Curitiba, PR: Ed. IESDE, 2009.</w:t>
            </w:r>
            <w:bookmarkEnd w:id="0"/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COHEN, E.; FRANCO, R. Avaliação de projetos sociais. Petrópolis, RJ: Ed.</w:t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Vozes, 2013.</w:t>
            </w:r>
          </w:p>
        </w:tc>
        <w:tc>
          <w:tcPr>
            <w:tcW w:w="4247" w:type="dxa"/>
          </w:tcPr>
          <w:p w14:paraId="32AE3C5A" w14:textId="5AEC2300" w:rsidR="00E025C8" w:rsidRPr="007820D1" w:rsidRDefault="005C7C19" w:rsidP="00E275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0D1">
              <w:rPr>
                <w:rFonts w:ascii="Times New Roman" w:hAnsi="Times New Roman"/>
                <w:sz w:val="24"/>
                <w:szCs w:val="24"/>
              </w:rPr>
              <w:t>“</w:t>
            </w:r>
            <w:r w:rsidR="000F01F1" w:rsidRPr="007820D1">
              <w:rPr>
                <w:rFonts w:ascii="Times New Roman" w:hAnsi="Times New Roman"/>
                <w:sz w:val="24"/>
                <w:szCs w:val="24"/>
              </w:rPr>
              <w:t>Esse critério é um dos principais observados quando o foco está na aplicação de recursos e na avaliação da relação custo-benefício (</w:t>
            </w:r>
            <w:proofErr w:type="spellStart"/>
            <w:r w:rsidR="000F01F1" w:rsidRPr="007820D1">
              <w:rPr>
                <w:rFonts w:ascii="Times New Roman" w:hAnsi="Times New Roman"/>
                <w:sz w:val="24"/>
                <w:szCs w:val="24"/>
              </w:rPr>
              <w:t>Boullosa</w:t>
            </w:r>
            <w:proofErr w:type="spellEnd"/>
            <w:r w:rsidR="000F01F1" w:rsidRPr="007820D1">
              <w:rPr>
                <w:rFonts w:ascii="Times New Roman" w:hAnsi="Times New Roman"/>
                <w:sz w:val="24"/>
                <w:szCs w:val="24"/>
              </w:rPr>
              <w:t xml:space="preserve"> &amp; Araújo, 2009).</w:t>
            </w:r>
            <w:r w:rsidRPr="007820D1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AA536C0" w14:textId="1570B2FA" w:rsidR="000F01F1" w:rsidRPr="007820D1" w:rsidRDefault="005C7C19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0F01F1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Dentre os motivos para tal podem ser destacados a ausência de adequados controles e a não utilização das metodologias de avaliação que, por um lado, poderiam permitir optar por alternativas mais econômicas para alcançar os objetivos pretendidos ou reorientar o projeto (Cohen &amp; Franco, 1993).</w:t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</w:p>
        </w:tc>
      </w:tr>
      <w:tr w:rsidR="00E025C8" w14:paraId="149F32AF" w14:textId="77777777" w:rsidTr="00E025C8">
        <w:tc>
          <w:tcPr>
            <w:tcW w:w="4247" w:type="dxa"/>
          </w:tcPr>
          <w:p w14:paraId="318D1944" w14:textId="415E98D0" w:rsidR="00E025C8" w:rsidRPr="007820D1" w:rsidRDefault="00E025C8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Como se deu a obtenção dos scores?</w:t>
            </w:r>
          </w:p>
        </w:tc>
        <w:tc>
          <w:tcPr>
            <w:tcW w:w="4247" w:type="dxa"/>
          </w:tcPr>
          <w:p w14:paraId="0D0F077E" w14:textId="5AEC97F7" w:rsidR="00E025C8" w:rsidRPr="007820D1" w:rsidRDefault="005C7C19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“</w:t>
            </w:r>
            <w:r w:rsidR="000F01F1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 escore varia entre 0 e 1, ou entre 0 e 100%, e as unidades eficientes recebem valor igual a 1 ou 100% (MARINHO, 2003). Com os escores é formada a fronteira de eficiência, as DMUS abaixo dessa fronteira serão consideradas ineficientes.</w:t>
            </w: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”</w:t>
            </w:r>
            <w:r w:rsidR="000F01F1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025C8" w14:paraId="61A5CAA3" w14:textId="77777777" w:rsidTr="00E025C8">
        <w:tc>
          <w:tcPr>
            <w:tcW w:w="4247" w:type="dxa"/>
          </w:tcPr>
          <w:p w14:paraId="574E0028" w14:textId="747284ED" w:rsidR="00E025C8" w:rsidRPr="007820D1" w:rsidRDefault="000F01F1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Definições de eficiência</w:t>
            </w:r>
            <w:r w:rsidR="005C7C19"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 discussões</w:t>
            </w:r>
          </w:p>
        </w:tc>
        <w:tc>
          <w:tcPr>
            <w:tcW w:w="4247" w:type="dxa"/>
          </w:tcPr>
          <w:p w14:paraId="204CE629" w14:textId="457898B8" w:rsidR="00E025C8" w:rsidRPr="007820D1" w:rsidRDefault="005C7C19" w:rsidP="00E275D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820D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t-BR"/>
              </w:rPr>
              <w:t>“</w:t>
            </w:r>
            <w:proofErr w:type="spellStart"/>
            <w:r w:rsidRPr="007820D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t-BR"/>
              </w:rPr>
              <w:t>Peña</w:t>
            </w:r>
            <w:proofErr w:type="spellEnd"/>
            <w:r w:rsidRPr="007820D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t-BR"/>
              </w:rPr>
              <w:t xml:space="preserve"> (2008)</w:t>
            </w:r>
            <w:r w:rsidRPr="007820D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define eficiência como combinação ótima dos insumos e métodos necessários (</w:t>
            </w:r>
            <w:r w:rsidRPr="007820D1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input</w:t>
            </w:r>
            <w:r w:rsidRPr="007820D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 no processo produtivo, de modo que, gerem o máximo de produto (</w:t>
            </w:r>
            <w:r w:rsidRPr="007820D1">
              <w:rPr>
                <w:rFonts w:ascii="Times New Roman" w:eastAsia="Times New Roman" w:hAnsi="Times New Roman"/>
                <w:i/>
                <w:sz w:val="24"/>
                <w:szCs w:val="24"/>
                <w:lang w:eastAsia="pt-BR"/>
              </w:rPr>
              <w:t>output</w:t>
            </w:r>
            <w:r w:rsidRPr="007820D1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).</w:t>
            </w:r>
          </w:p>
          <w:p w14:paraId="6668E854" w14:textId="2D221440" w:rsidR="005C7C19" w:rsidRPr="007820D1" w:rsidRDefault="005C7C19" w:rsidP="00E275D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820D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Os resultados são amparados pela Teoria do Bem-estar Social: a eficiência encontrada em relação ao gasto, associado à quantidade de domicílios em situação de vulnerabilidade indica que a política pública assistencialista de restaurante comunitário reduz a extensão de insegurança, à medida que oferece aos cidadãos mais vulneráveis o acesso a alimentação adequada a subsistência.”</w:t>
            </w:r>
          </w:p>
        </w:tc>
      </w:tr>
      <w:tr w:rsidR="00ED04B2" w14:paraId="4EEF2324" w14:textId="77777777" w:rsidTr="00E025C8">
        <w:tc>
          <w:tcPr>
            <w:tcW w:w="4247" w:type="dxa"/>
          </w:tcPr>
          <w:p w14:paraId="0B0D69F8" w14:textId="4723F76A" w:rsidR="00ED04B2" w:rsidRPr="007820D1" w:rsidRDefault="00ED04B2" w:rsidP="00ED04B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631C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Qualidade da comunicação</w:t>
            </w:r>
          </w:p>
        </w:tc>
        <w:tc>
          <w:tcPr>
            <w:tcW w:w="4247" w:type="dxa"/>
          </w:tcPr>
          <w:p w14:paraId="1CA7081E" w14:textId="6CD44A13" w:rsidR="00ED04B2" w:rsidRPr="007820D1" w:rsidRDefault="00ED04B2" w:rsidP="00ED04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pt-BR"/>
              </w:rPr>
            </w:pPr>
            <w:r w:rsidRPr="008631C7">
              <w:rPr>
                <w:rFonts w:ascii="Times New Roman" w:hAnsi="Times New Roman" w:cs="Times New Roman"/>
                <w:sz w:val="24"/>
                <w:szCs w:val="24"/>
              </w:rPr>
              <w:t>Correção de coerência e aspectos gramaticais</w:t>
            </w:r>
          </w:p>
        </w:tc>
      </w:tr>
      <w:tr w:rsidR="003544C5" w14:paraId="08D350F6" w14:textId="77777777" w:rsidTr="00E025C8">
        <w:tc>
          <w:tcPr>
            <w:tcW w:w="4247" w:type="dxa"/>
          </w:tcPr>
          <w:p w14:paraId="30964306" w14:textId="2CF393DE" w:rsidR="003544C5" w:rsidRPr="008631C7" w:rsidRDefault="003544C5" w:rsidP="00ED04B2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Metodologia</w:t>
            </w:r>
          </w:p>
        </w:tc>
        <w:tc>
          <w:tcPr>
            <w:tcW w:w="4247" w:type="dxa"/>
          </w:tcPr>
          <w:p w14:paraId="52A645FF" w14:textId="77777777" w:rsidR="003544C5" w:rsidRDefault="003544C5" w:rsidP="00ED04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663">
              <w:rPr>
                <w:rFonts w:ascii="Times New Roman" w:hAnsi="Times New Roman"/>
                <w:sz w:val="24"/>
                <w:szCs w:val="24"/>
              </w:rPr>
              <w:t>A presente pesquisa pode ser caracterizada como descritiva, com abordagem quantitativa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9601E4" w14:textId="61703AF5" w:rsidR="003544C5" w:rsidRPr="008631C7" w:rsidRDefault="003544C5" w:rsidP="00ED0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B0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oftware e </w:t>
            </w:r>
            <w:proofErr w:type="spellStart"/>
            <w:r w:rsidRPr="00B0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MaxDEA</w:t>
            </w:r>
            <w:proofErr w:type="spellEnd"/>
            <w:r w:rsidRPr="00B0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for Data </w:t>
            </w:r>
            <w:proofErr w:type="spellStart"/>
            <w:r w:rsidRPr="00B0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Envelopment</w:t>
            </w:r>
            <w:proofErr w:type="spellEnd"/>
            <w:r w:rsidRPr="00B0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05663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Analysis</w:t>
            </w:r>
            <w:proofErr w:type="spellEnd"/>
            <w:r w:rsidRPr="00B0566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64B3C194" w14:textId="1757A988" w:rsidR="003010D8" w:rsidRPr="00E275DF" w:rsidRDefault="003010D8" w:rsidP="003544C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010D8" w:rsidRPr="00E275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D8"/>
    <w:rsid w:val="00063D0D"/>
    <w:rsid w:val="000F01F1"/>
    <w:rsid w:val="003010D8"/>
    <w:rsid w:val="003544C5"/>
    <w:rsid w:val="005C7C19"/>
    <w:rsid w:val="007820D1"/>
    <w:rsid w:val="00BB55F7"/>
    <w:rsid w:val="00DB2678"/>
    <w:rsid w:val="00E025C8"/>
    <w:rsid w:val="00E275DF"/>
    <w:rsid w:val="00E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7E53"/>
  <w15:chartTrackingRefBased/>
  <w15:docId w15:val="{43D0DEBE-B454-427E-8ED0-499BDAD2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02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Pedelhes</dc:creator>
  <cp:keywords/>
  <dc:description/>
  <cp:lastModifiedBy>Milena Pedelhes</cp:lastModifiedBy>
  <cp:revision>2</cp:revision>
  <dcterms:created xsi:type="dcterms:W3CDTF">2018-05-24T01:53:00Z</dcterms:created>
  <dcterms:modified xsi:type="dcterms:W3CDTF">2018-05-24T01:53:00Z</dcterms:modified>
</cp:coreProperties>
</file>